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29965" w14:textId="77777777" w:rsidR="00BC3DCD" w:rsidRPr="006A268E" w:rsidRDefault="00BC3DCD" w:rsidP="006B05EB">
      <w:pPr>
        <w:spacing w:after="0" w:line="240" w:lineRule="auto"/>
        <w:rPr>
          <w:rFonts w:ascii="Arial Narrow" w:eastAsia="Times New Roman" w:hAnsi="Arial Narrow" w:cs="Arial"/>
          <w:b/>
          <w:bCs/>
          <w:shd w:val="clear" w:color="auto" w:fill="FFFFFF"/>
        </w:rPr>
      </w:pPr>
      <w:r w:rsidRPr="006A268E">
        <w:rPr>
          <w:rStyle w:val="Textoennegrita"/>
          <w:rFonts w:ascii="Arial Narrow" w:hAnsi="Arial Narrow" w:cs="Arial"/>
          <w:shd w:val="clear" w:color="auto" w:fill="FFFFFF"/>
        </w:rPr>
        <w:t>VICEPRESIDENCIA SEGUNDA E CONSELLERÍA DE ECONOMÍA, EMPRESA E INNOVACIÓN</w:t>
      </w:r>
    </w:p>
    <w:p w14:paraId="6B2371D5" w14:textId="77777777" w:rsidR="004A0CC2" w:rsidRPr="006A268E" w:rsidRDefault="004A0CC2" w:rsidP="006B05EB">
      <w:pPr>
        <w:spacing w:line="240" w:lineRule="auto"/>
        <w:jc w:val="both"/>
        <w:rPr>
          <w:rFonts w:ascii="Arial Narrow" w:eastAsia="Times New Roman" w:hAnsi="Arial Narrow" w:cs="Arial"/>
          <w:b/>
          <w:bCs/>
          <w:shd w:val="clear" w:color="auto" w:fill="FFFFFF"/>
        </w:rPr>
      </w:pPr>
      <w:r w:rsidRPr="006A268E">
        <w:rPr>
          <w:rFonts w:ascii="Arial Narrow" w:eastAsia="Times New Roman" w:hAnsi="Arial Narrow" w:cs="Arial"/>
          <w:b/>
          <w:bCs/>
          <w:shd w:val="clear" w:color="auto" w:fill="FFFFFF"/>
        </w:rPr>
        <w:t xml:space="preserve">XEFATURA TERRITORIAL </w:t>
      </w:r>
      <w:r w:rsidR="00EF38AB" w:rsidRPr="006A268E">
        <w:rPr>
          <w:rFonts w:ascii="Arial Narrow" w:eastAsia="Times New Roman" w:hAnsi="Arial Narrow" w:cs="Arial"/>
          <w:b/>
          <w:bCs/>
          <w:shd w:val="clear" w:color="auto" w:fill="FFFFFF"/>
        </w:rPr>
        <w:t xml:space="preserve">DE </w:t>
      </w:r>
      <w:r w:rsidR="00C51B0A">
        <w:rPr>
          <w:rFonts w:ascii="Arial Narrow" w:eastAsia="Times New Roman" w:hAnsi="Arial Narrow" w:cs="Arial"/>
          <w:b/>
          <w:bCs/>
          <w:shd w:val="clear" w:color="auto" w:fill="FFFFFF"/>
        </w:rPr>
        <w:t>OURENSE</w:t>
      </w:r>
    </w:p>
    <w:p w14:paraId="1793AD5C" w14:textId="4735BABA" w:rsidR="00663F60" w:rsidRPr="006B05EB" w:rsidRDefault="00663F60" w:rsidP="00663F60">
      <w:pPr>
        <w:spacing w:line="240" w:lineRule="auto"/>
        <w:jc w:val="both"/>
        <w:rPr>
          <w:rFonts w:ascii="Arial Narrow" w:eastAsia="Times New Roman" w:hAnsi="Arial Narrow" w:cs="Arial"/>
          <w:bCs/>
          <w:shd w:val="clear" w:color="auto" w:fill="FFFFFF"/>
        </w:rPr>
      </w:pPr>
      <w:r w:rsidRPr="00663F60">
        <w:rPr>
          <w:rFonts w:ascii="Arial Narrow" w:eastAsia="Times New Roman" w:hAnsi="Arial Narrow" w:cs="Arial"/>
          <w:bCs/>
          <w:shd w:val="clear" w:color="auto" w:fill="FFFFFF"/>
        </w:rPr>
        <w:t>Rúa Curros Enríquez, 1-</w:t>
      </w:r>
      <w:proofErr w:type="gramStart"/>
      <w:r w:rsidRPr="00663F60">
        <w:rPr>
          <w:rFonts w:ascii="Arial Narrow" w:eastAsia="Times New Roman" w:hAnsi="Arial Narrow" w:cs="Arial"/>
          <w:bCs/>
          <w:shd w:val="clear" w:color="auto" w:fill="FFFFFF"/>
        </w:rPr>
        <w:t>4º</w:t>
      </w:r>
      <w:r w:rsidR="006B05EB">
        <w:rPr>
          <w:rFonts w:ascii="Arial Narrow" w:eastAsia="Times New Roman" w:hAnsi="Arial Narrow" w:cs="Arial"/>
          <w:bCs/>
          <w:shd w:val="clear" w:color="auto" w:fill="FFFFFF"/>
        </w:rPr>
        <w:t xml:space="preserve">  </w:t>
      </w:r>
      <w:r w:rsidRPr="00663F60">
        <w:rPr>
          <w:rFonts w:ascii="Arial Narrow" w:eastAsia="Times New Roman" w:hAnsi="Arial Narrow" w:cs="Arial"/>
          <w:bCs/>
          <w:shd w:val="clear" w:color="auto" w:fill="FFFFFF"/>
        </w:rPr>
        <w:t>32003</w:t>
      </w:r>
      <w:proofErr w:type="gramEnd"/>
      <w:r w:rsidRPr="00663F60">
        <w:rPr>
          <w:rFonts w:ascii="Arial Narrow" w:eastAsia="Times New Roman" w:hAnsi="Arial Narrow" w:cs="Arial"/>
          <w:bCs/>
          <w:shd w:val="clear" w:color="auto" w:fill="FFFFFF"/>
        </w:rPr>
        <w:t xml:space="preserve"> Ourense</w:t>
      </w:r>
    </w:p>
    <w:p w14:paraId="176E638A" w14:textId="77777777" w:rsidR="00307A59" w:rsidRPr="006B05EB" w:rsidRDefault="00F17FB1">
      <w:pPr>
        <w:spacing w:line="240" w:lineRule="auto"/>
        <w:jc w:val="both"/>
        <w:rPr>
          <w:rFonts w:ascii="Arial Narrow" w:eastAsia="Arial Narrow" w:hAnsi="Arial Narrow" w:cs="Arial"/>
          <w:b/>
          <w:sz w:val="20"/>
          <w:szCs w:val="20"/>
        </w:rPr>
      </w:pPr>
      <w:r w:rsidRPr="006B05EB">
        <w:rPr>
          <w:rFonts w:ascii="Arial Narrow" w:eastAsia="Arial Narrow" w:hAnsi="Arial Narrow" w:cs="Arial"/>
          <w:b/>
          <w:sz w:val="20"/>
          <w:szCs w:val="20"/>
          <w:u w:val="single"/>
        </w:rPr>
        <w:t>Asunto:</w:t>
      </w:r>
      <w:r w:rsidRPr="006B05EB">
        <w:rPr>
          <w:rFonts w:ascii="Arial Narrow" w:eastAsia="Arial Narrow" w:hAnsi="Arial Narrow" w:cs="Arial"/>
          <w:b/>
          <w:sz w:val="20"/>
          <w:szCs w:val="20"/>
        </w:rPr>
        <w:t xml:space="preserve"> </w:t>
      </w:r>
      <w:proofErr w:type="spellStart"/>
      <w:r w:rsidRPr="006B05EB">
        <w:rPr>
          <w:rFonts w:ascii="Arial Narrow" w:eastAsia="Arial Narrow" w:hAnsi="Arial Narrow" w:cs="Arial"/>
          <w:b/>
          <w:sz w:val="20"/>
          <w:szCs w:val="20"/>
        </w:rPr>
        <w:t>Alegacións</w:t>
      </w:r>
      <w:proofErr w:type="spellEnd"/>
      <w:r w:rsidRPr="006B05EB">
        <w:rPr>
          <w:rFonts w:ascii="Arial Narrow" w:eastAsia="Arial Narrow" w:hAnsi="Arial Narrow" w:cs="Arial"/>
          <w:b/>
          <w:sz w:val="20"/>
          <w:szCs w:val="20"/>
        </w:rPr>
        <w:t xml:space="preserve"> </w:t>
      </w:r>
      <w:proofErr w:type="spellStart"/>
      <w:r w:rsidR="008C0D58" w:rsidRPr="006B05EB">
        <w:rPr>
          <w:rFonts w:ascii="Arial Narrow" w:eastAsia="Arial Narrow" w:hAnsi="Arial Narrow" w:cs="Arial"/>
          <w:b/>
          <w:sz w:val="20"/>
          <w:szCs w:val="20"/>
        </w:rPr>
        <w:t>ao</w:t>
      </w:r>
      <w:proofErr w:type="spellEnd"/>
      <w:r w:rsidRPr="006B05EB">
        <w:rPr>
          <w:rFonts w:ascii="Arial Narrow" w:eastAsia="Arial Narrow" w:hAnsi="Arial Narrow" w:cs="Arial"/>
          <w:b/>
          <w:sz w:val="20"/>
          <w:szCs w:val="20"/>
        </w:rPr>
        <w:t xml:space="preserve"> </w:t>
      </w:r>
      <w:proofErr w:type="spellStart"/>
      <w:r w:rsidR="008C0D58" w:rsidRPr="006B05EB">
        <w:rPr>
          <w:rFonts w:ascii="Arial Narrow" w:hAnsi="Arial Narrow"/>
          <w:b/>
          <w:sz w:val="20"/>
          <w:szCs w:val="20"/>
        </w:rPr>
        <w:t>A</w:t>
      </w:r>
      <w:r w:rsidR="00953508" w:rsidRPr="006B05EB">
        <w:rPr>
          <w:rFonts w:ascii="Arial Narrow" w:hAnsi="Arial Narrow"/>
          <w:b/>
          <w:sz w:val="20"/>
          <w:szCs w:val="20"/>
        </w:rPr>
        <w:t>cordo</w:t>
      </w:r>
      <w:proofErr w:type="spellEnd"/>
      <w:r w:rsidR="008C0D58" w:rsidRPr="006B05EB">
        <w:rPr>
          <w:rFonts w:ascii="Arial Narrow" w:hAnsi="Arial Narrow"/>
          <w:b/>
          <w:sz w:val="20"/>
          <w:szCs w:val="20"/>
        </w:rPr>
        <w:t xml:space="preserve"> do 20 de </w:t>
      </w:r>
      <w:proofErr w:type="spellStart"/>
      <w:r w:rsidR="008C0D58" w:rsidRPr="006B05EB">
        <w:rPr>
          <w:rFonts w:ascii="Arial Narrow" w:hAnsi="Arial Narrow"/>
          <w:b/>
          <w:sz w:val="20"/>
          <w:szCs w:val="20"/>
        </w:rPr>
        <w:t>xaneiro</w:t>
      </w:r>
      <w:proofErr w:type="spellEnd"/>
      <w:r w:rsidR="008C0D58" w:rsidRPr="006B05EB">
        <w:rPr>
          <w:rFonts w:ascii="Arial Narrow" w:hAnsi="Arial Narrow"/>
          <w:b/>
          <w:sz w:val="20"/>
          <w:szCs w:val="20"/>
        </w:rPr>
        <w:t xml:space="preserve"> de 2022, da </w:t>
      </w:r>
      <w:proofErr w:type="spellStart"/>
      <w:r w:rsidR="008C0D58" w:rsidRPr="006B05EB">
        <w:rPr>
          <w:rFonts w:ascii="Arial Narrow" w:hAnsi="Arial Narrow"/>
          <w:b/>
          <w:sz w:val="20"/>
          <w:szCs w:val="20"/>
        </w:rPr>
        <w:t>Xefatura</w:t>
      </w:r>
      <w:proofErr w:type="spellEnd"/>
      <w:r w:rsidR="008C0D58" w:rsidRPr="006B05EB">
        <w:rPr>
          <w:rFonts w:ascii="Arial Narrow" w:hAnsi="Arial Narrow"/>
          <w:b/>
          <w:sz w:val="20"/>
          <w:szCs w:val="20"/>
        </w:rPr>
        <w:t xml:space="preserve"> Territorial de Ourense, polo que se someten a información pública as solicitudes de autorización administrativa previa e de </w:t>
      </w:r>
      <w:proofErr w:type="spellStart"/>
      <w:r w:rsidR="008C0D58" w:rsidRPr="006B05EB">
        <w:rPr>
          <w:rFonts w:ascii="Arial Narrow" w:hAnsi="Arial Narrow"/>
          <w:b/>
          <w:sz w:val="20"/>
          <w:szCs w:val="20"/>
        </w:rPr>
        <w:t>construción</w:t>
      </w:r>
      <w:proofErr w:type="spellEnd"/>
      <w:r w:rsidR="008C0D58" w:rsidRPr="006B05EB">
        <w:rPr>
          <w:rFonts w:ascii="Arial Narrow" w:hAnsi="Arial Narrow"/>
          <w:b/>
          <w:sz w:val="20"/>
          <w:szCs w:val="20"/>
        </w:rPr>
        <w:t xml:space="preserve">, o </w:t>
      </w:r>
      <w:proofErr w:type="spellStart"/>
      <w:r w:rsidR="008C0D58" w:rsidRPr="006B05EB">
        <w:rPr>
          <w:rFonts w:ascii="Arial Narrow" w:hAnsi="Arial Narrow"/>
          <w:b/>
          <w:sz w:val="20"/>
          <w:szCs w:val="20"/>
        </w:rPr>
        <w:t>proxecto</w:t>
      </w:r>
      <w:proofErr w:type="spellEnd"/>
      <w:r w:rsidR="008C0D58" w:rsidRPr="006B05EB">
        <w:rPr>
          <w:rFonts w:ascii="Arial Narrow" w:hAnsi="Arial Narrow"/>
          <w:b/>
          <w:sz w:val="20"/>
          <w:szCs w:val="20"/>
        </w:rPr>
        <w:t xml:space="preserve"> de interese autonómico e o </w:t>
      </w:r>
      <w:proofErr w:type="spellStart"/>
      <w:r w:rsidR="008C0D58" w:rsidRPr="006B05EB">
        <w:rPr>
          <w:rFonts w:ascii="Arial Narrow" w:hAnsi="Arial Narrow"/>
          <w:b/>
          <w:sz w:val="20"/>
          <w:szCs w:val="20"/>
        </w:rPr>
        <w:t>estudo</w:t>
      </w:r>
      <w:proofErr w:type="spellEnd"/>
      <w:r w:rsidR="008C0D58" w:rsidRPr="006B05EB">
        <w:rPr>
          <w:rFonts w:ascii="Arial Narrow" w:hAnsi="Arial Narrow"/>
          <w:b/>
          <w:sz w:val="20"/>
          <w:szCs w:val="20"/>
        </w:rPr>
        <w:t xml:space="preserve"> de impacto ambiental do </w:t>
      </w:r>
      <w:proofErr w:type="spellStart"/>
      <w:r w:rsidR="008C0D58" w:rsidRPr="006B05EB">
        <w:rPr>
          <w:rFonts w:ascii="Arial Narrow" w:hAnsi="Arial Narrow"/>
          <w:b/>
          <w:sz w:val="20"/>
          <w:szCs w:val="20"/>
        </w:rPr>
        <w:t>proxecto</w:t>
      </w:r>
      <w:proofErr w:type="spellEnd"/>
      <w:r w:rsidR="008C0D58" w:rsidRPr="006B05EB">
        <w:rPr>
          <w:rFonts w:ascii="Arial Narrow" w:hAnsi="Arial Narrow"/>
          <w:b/>
          <w:sz w:val="20"/>
          <w:szCs w:val="20"/>
        </w:rPr>
        <w:t xml:space="preserve"> do parque eólico </w:t>
      </w:r>
      <w:proofErr w:type="spellStart"/>
      <w:r w:rsidR="008C0D58" w:rsidRPr="006B05EB">
        <w:rPr>
          <w:rFonts w:ascii="Arial Narrow" w:hAnsi="Arial Narrow"/>
          <w:b/>
          <w:sz w:val="20"/>
          <w:szCs w:val="20"/>
        </w:rPr>
        <w:t>Marcofán</w:t>
      </w:r>
      <w:proofErr w:type="spellEnd"/>
      <w:r w:rsidR="008C0D58" w:rsidRPr="006B05EB">
        <w:rPr>
          <w:rFonts w:ascii="Arial Narrow" w:hAnsi="Arial Narrow"/>
          <w:b/>
          <w:sz w:val="20"/>
          <w:szCs w:val="20"/>
        </w:rPr>
        <w:t xml:space="preserve">, situado nos </w:t>
      </w:r>
      <w:proofErr w:type="spellStart"/>
      <w:r w:rsidR="008C0D58" w:rsidRPr="006B05EB">
        <w:rPr>
          <w:rFonts w:ascii="Arial Narrow" w:hAnsi="Arial Narrow"/>
          <w:b/>
          <w:sz w:val="20"/>
          <w:szCs w:val="20"/>
        </w:rPr>
        <w:t>concellos</w:t>
      </w:r>
      <w:proofErr w:type="spellEnd"/>
      <w:r w:rsidR="008C0D58" w:rsidRPr="006B05EB">
        <w:rPr>
          <w:rFonts w:ascii="Arial Narrow" w:hAnsi="Arial Narrow"/>
          <w:b/>
          <w:sz w:val="20"/>
          <w:szCs w:val="20"/>
        </w:rPr>
        <w:t xml:space="preserve"> do Irixo, </w:t>
      </w:r>
      <w:proofErr w:type="spellStart"/>
      <w:r w:rsidR="008C0D58" w:rsidRPr="006B05EB">
        <w:rPr>
          <w:rFonts w:ascii="Arial Narrow" w:hAnsi="Arial Narrow"/>
          <w:b/>
          <w:sz w:val="20"/>
          <w:szCs w:val="20"/>
        </w:rPr>
        <w:t>Boborás</w:t>
      </w:r>
      <w:proofErr w:type="spellEnd"/>
      <w:r w:rsidR="008C0D58" w:rsidRPr="006B05EB">
        <w:rPr>
          <w:rFonts w:ascii="Arial Narrow" w:hAnsi="Arial Narrow"/>
          <w:b/>
          <w:sz w:val="20"/>
          <w:szCs w:val="20"/>
        </w:rPr>
        <w:t xml:space="preserve"> e </w:t>
      </w:r>
      <w:proofErr w:type="spellStart"/>
      <w:r w:rsidR="008C0D58" w:rsidRPr="006B05EB">
        <w:rPr>
          <w:rFonts w:ascii="Arial Narrow" w:hAnsi="Arial Narrow"/>
          <w:b/>
          <w:sz w:val="20"/>
          <w:szCs w:val="20"/>
        </w:rPr>
        <w:t>Beariz</w:t>
      </w:r>
      <w:proofErr w:type="spellEnd"/>
      <w:r w:rsidR="008C0D58" w:rsidRPr="006B05EB">
        <w:rPr>
          <w:rFonts w:ascii="Arial Narrow" w:hAnsi="Arial Narrow"/>
          <w:b/>
          <w:sz w:val="20"/>
          <w:szCs w:val="20"/>
        </w:rPr>
        <w:t xml:space="preserve">, provincia de Ourense (expediente IN408A 2017/020), DOG Núm. 18, de 27 de </w:t>
      </w:r>
      <w:proofErr w:type="spellStart"/>
      <w:r w:rsidR="008C0D58" w:rsidRPr="006B05EB">
        <w:rPr>
          <w:rFonts w:ascii="Arial Narrow" w:hAnsi="Arial Narrow"/>
          <w:b/>
          <w:sz w:val="20"/>
          <w:szCs w:val="20"/>
        </w:rPr>
        <w:t>xaneiro</w:t>
      </w:r>
      <w:proofErr w:type="spellEnd"/>
      <w:r w:rsidR="008C0D58" w:rsidRPr="006B05EB">
        <w:rPr>
          <w:rFonts w:ascii="Arial Narrow" w:hAnsi="Arial Narrow"/>
          <w:b/>
          <w:sz w:val="20"/>
          <w:szCs w:val="20"/>
        </w:rPr>
        <w:t xml:space="preserve"> de 2022.</w:t>
      </w:r>
    </w:p>
    <w:p w14:paraId="00ED52B2" w14:textId="77777777" w:rsidR="0036582D" w:rsidRPr="006B05EB" w:rsidRDefault="00F17FB1" w:rsidP="00810BFA">
      <w:pPr>
        <w:spacing w:line="360" w:lineRule="auto"/>
        <w:jc w:val="both"/>
        <w:rPr>
          <w:rFonts w:ascii="Arial Narrow" w:eastAsia="Arial Narrow" w:hAnsi="Arial Narrow" w:cs="Arial"/>
          <w:sz w:val="20"/>
          <w:szCs w:val="20"/>
        </w:rPr>
      </w:pPr>
      <w:r w:rsidRPr="006B05EB">
        <w:rPr>
          <w:rFonts w:ascii="Arial Narrow" w:eastAsia="Arial Narrow" w:hAnsi="Arial Narrow" w:cs="Arial"/>
          <w:sz w:val="20"/>
          <w:szCs w:val="20"/>
        </w:rPr>
        <w:t>Don/Dona ________________________________</w:t>
      </w:r>
      <w:r w:rsidR="00810BFA" w:rsidRPr="006B05EB">
        <w:rPr>
          <w:rFonts w:ascii="Arial Narrow" w:eastAsia="Arial Narrow" w:hAnsi="Arial Narrow" w:cs="Arial"/>
          <w:sz w:val="20"/>
          <w:szCs w:val="20"/>
        </w:rPr>
        <w:t>_______________</w:t>
      </w:r>
      <w:r w:rsidR="006A293E" w:rsidRPr="006B05EB">
        <w:rPr>
          <w:rFonts w:ascii="Arial Narrow" w:eastAsia="Arial Narrow" w:hAnsi="Arial Narrow" w:cs="Arial"/>
          <w:sz w:val="20"/>
          <w:szCs w:val="20"/>
        </w:rPr>
        <w:t>_________________</w:t>
      </w:r>
      <w:r w:rsidR="00810BFA" w:rsidRPr="006B05EB">
        <w:rPr>
          <w:rFonts w:ascii="Arial Narrow" w:eastAsia="Arial Narrow" w:hAnsi="Arial Narrow" w:cs="Arial"/>
          <w:sz w:val="20"/>
          <w:szCs w:val="20"/>
        </w:rPr>
        <w:t>_</w:t>
      </w:r>
      <w:r w:rsidRPr="006B05EB">
        <w:rPr>
          <w:rFonts w:ascii="Arial Narrow" w:eastAsia="Arial Narrow" w:hAnsi="Arial Narrow" w:cs="Arial"/>
          <w:sz w:val="20"/>
          <w:szCs w:val="20"/>
        </w:rPr>
        <w:t xml:space="preserve"> con DNI. Número ________________________, con domicilio a efectos de </w:t>
      </w:r>
      <w:proofErr w:type="spellStart"/>
      <w:r w:rsidRPr="006B05EB">
        <w:rPr>
          <w:rFonts w:ascii="Arial Narrow" w:eastAsia="Arial Narrow" w:hAnsi="Arial Narrow" w:cs="Arial"/>
          <w:sz w:val="20"/>
          <w:szCs w:val="20"/>
        </w:rPr>
        <w:t>notificacións</w:t>
      </w:r>
      <w:proofErr w:type="spellEnd"/>
      <w:r w:rsidRPr="006B05EB">
        <w:rPr>
          <w:rFonts w:ascii="Arial Narrow" w:eastAsia="Arial Narrow" w:hAnsi="Arial Narrow" w:cs="Arial"/>
          <w:sz w:val="20"/>
          <w:szCs w:val="20"/>
        </w:rPr>
        <w:t xml:space="preserve"> en ________________________</w:t>
      </w:r>
      <w:r w:rsidR="00810BFA" w:rsidRPr="006B05EB">
        <w:rPr>
          <w:rFonts w:ascii="Arial Narrow" w:eastAsia="Arial Narrow" w:hAnsi="Arial Narrow" w:cs="Arial"/>
          <w:sz w:val="20"/>
          <w:szCs w:val="20"/>
        </w:rPr>
        <w:t>_________</w:t>
      </w:r>
      <w:r w:rsidR="006A293E" w:rsidRPr="006B05EB">
        <w:rPr>
          <w:rFonts w:ascii="Arial Narrow" w:eastAsia="Arial Narrow" w:hAnsi="Arial Narrow" w:cs="Arial"/>
          <w:sz w:val="20"/>
          <w:szCs w:val="20"/>
        </w:rPr>
        <w:t>_________________________</w:t>
      </w:r>
      <w:r w:rsidR="00810BFA" w:rsidRPr="006B05EB">
        <w:rPr>
          <w:rFonts w:ascii="Arial Narrow" w:eastAsia="Arial Narrow" w:hAnsi="Arial Narrow" w:cs="Arial"/>
          <w:sz w:val="20"/>
          <w:szCs w:val="20"/>
        </w:rPr>
        <w:t>______</w:t>
      </w:r>
      <w:r w:rsidRPr="006B05EB">
        <w:rPr>
          <w:rFonts w:ascii="Arial Narrow" w:eastAsia="Arial Narrow" w:hAnsi="Arial Narrow" w:cs="Arial"/>
          <w:sz w:val="20"/>
          <w:szCs w:val="20"/>
        </w:rPr>
        <w:t>, municipio de _______________, provincia__________________, teléfono ________________________________.</w:t>
      </w:r>
    </w:p>
    <w:p w14:paraId="2B8A1490" w14:textId="77777777" w:rsidR="0036582D" w:rsidRPr="006B05EB" w:rsidRDefault="00F17FB1">
      <w:pPr>
        <w:spacing w:line="240" w:lineRule="auto"/>
        <w:jc w:val="both"/>
        <w:rPr>
          <w:rFonts w:ascii="Arial" w:eastAsia="Arial Narrow" w:hAnsi="Arial" w:cs="Arial"/>
          <w:b/>
          <w:sz w:val="13"/>
          <w:szCs w:val="13"/>
          <w:u w:val="single"/>
        </w:rPr>
      </w:pPr>
      <w:r w:rsidRPr="006B05EB">
        <w:rPr>
          <w:rFonts w:ascii="Arial" w:eastAsia="Arial Narrow" w:hAnsi="Arial" w:cs="Arial"/>
          <w:b/>
          <w:sz w:val="13"/>
          <w:szCs w:val="13"/>
          <w:u w:val="single"/>
        </w:rPr>
        <w:t>EXPÓN:</w:t>
      </w:r>
    </w:p>
    <w:p w14:paraId="6B439DFF" w14:textId="77777777" w:rsidR="0036582D" w:rsidRPr="006B05EB" w:rsidRDefault="00F17FB1">
      <w:pPr>
        <w:spacing w:line="240" w:lineRule="auto"/>
        <w:jc w:val="both"/>
        <w:rPr>
          <w:rFonts w:ascii="Arial" w:eastAsia="Arial Narrow" w:hAnsi="Arial" w:cs="Arial"/>
          <w:sz w:val="13"/>
          <w:szCs w:val="13"/>
        </w:rPr>
      </w:pPr>
      <w:r w:rsidRPr="006B05EB">
        <w:rPr>
          <w:rFonts w:ascii="Arial" w:eastAsia="Arial Narrow" w:hAnsi="Arial" w:cs="Arial"/>
          <w:sz w:val="13"/>
          <w:szCs w:val="13"/>
        </w:rPr>
        <w:t>Á vista d</w:t>
      </w:r>
      <w:r w:rsidR="00953508" w:rsidRPr="006B05EB">
        <w:rPr>
          <w:rFonts w:ascii="Arial" w:eastAsia="Arial Narrow" w:hAnsi="Arial" w:cs="Arial"/>
          <w:sz w:val="13"/>
          <w:szCs w:val="13"/>
        </w:rPr>
        <w:t>o</w:t>
      </w:r>
      <w:r w:rsidRPr="006B05EB">
        <w:rPr>
          <w:rFonts w:ascii="Arial" w:eastAsia="Arial Narrow" w:hAnsi="Arial" w:cs="Arial"/>
          <w:sz w:val="13"/>
          <w:szCs w:val="13"/>
        </w:rPr>
        <w:t xml:space="preserve"> </w:t>
      </w:r>
      <w:proofErr w:type="spellStart"/>
      <w:r w:rsidR="00953508" w:rsidRPr="006B05EB">
        <w:rPr>
          <w:rFonts w:ascii="Arial" w:eastAsia="Arial Narrow" w:hAnsi="Arial" w:cs="Arial"/>
          <w:sz w:val="13"/>
          <w:szCs w:val="13"/>
        </w:rPr>
        <w:t>Acordo</w:t>
      </w:r>
      <w:proofErr w:type="spellEnd"/>
      <w:r w:rsidR="00953508" w:rsidRPr="006B05EB">
        <w:rPr>
          <w:rFonts w:ascii="Arial" w:eastAsia="Arial Narrow" w:hAnsi="Arial" w:cs="Arial"/>
          <w:sz w:val="13"/>
          <w:szCs w:val="13"/>
        </w:rPr>
        <w:t xml:space="preserve"> do 20 de </w:t>
      </w:r>
      <w:proofErr w:type="spellStart"/>
      <w:r w:rsidR="00953508" w:rsidRPr="006B05EB">
        <w:rPr>
          <w:rFonts w:ascii="Arial" w:eastAsia="Arial Narrow" w:hAnsi="Arial" w:cs="Arial"/>
          <w:sz w:val="13"/>
          <w:szCs w:val="13"/>
        </w:rPr>
        <w:t>xaneiro</w:t>
      </w:r>
      <w:proofErr w:type="spellEnd"/>
      <w:r w:rsidR="00953508" w:rsidRPr="006B05EB">
        <w:rPr>
          <w:rFonts w:ascii="Arial" w:eastAsia="Arial Narrow" w:hAnsi="Arial" w:cs="Arial"/>
          <w:sz w:val="13"/>
          <w:szCs w:val="13"/>
        </w:rPr>
        <w:t xml:space="preserve"> de 2022, da </w:t>
      </w:r>
      <w:proofErr w:type="spellStart"/>
      <w:r w:rsidR="00953508" w:rsidRPr="006B05EB">
        <w:rPr>
          <w:rFonts w:ascii="Arial" w:eastAsia="Arial Narrow" w:hAnsi="Arial" w:cs="Arial"/>
          <w:sz w:val="13"/>
          <w:szCs w:val="13"/>
        </w:rPr>
        <w:t>Xefatura</w:t>
      </w:r>
      <w:proofErr w:type="spellEnd"/>
      <w:r w:rsidR="00953508" w:rsidRPr="006B05EB">
        <w:rPr>
          <w:rFonts w:ascii="Arial" w:eastAsia="Arial Narrow" w:hAnsi="Arial" w:cs="Arial"/>
          <w:sz w:val="13"/>
          <w:szCs w:val="13"/>
        </w:rPr>
        <w:t xml:space="preserve"> Territorial de Ourense, polo que se someten a información pública as solicitudes de autorización administrativa previa e de </w:t>
      </w:r>
      <w:proofErr w:type="spellStart"/>
      <w:r w:rsidR="00953508" w:rsidRPr="006B05EB">
        <w:rPr>
          <w:rFonts w:ascii="Arial" w:eastAsia="Arial Narrow" w:hAnsi="Arial" w:cs="Arial"/>
          <w:sz w:val="13"/>
          <w:szCs w:val="13"/>
        </w:rPr>
        <w:t>construción</w:t>
      </w:r>
      <w:proofErr w:type="spellEnd"/>
      <w:r w:rsidR="00953508" w:rsidRPr="006B05EB">
        <w:rPr>
          <w:rFonts w:ascii="Arial" w:eastAsia="Arial Narrow" w:hAnsi="Arial" w:cs="Arial"/>
          <w:sz w:val="13"/>
          <w:szCs w:val="13"/>
        </w:rPr>
        <w:t xml:space="preserve">, o </w:t>
      </w:r>
      <w:proofErr w:type="spellStart"/>
      <w:r w:rsidR="00953508" w:rsidRPr="006B05EB">
        <w:rPr>
          <w:rFonts w:ascii="Arial" w:eastAsia="Arial Narrow" w:hAnsi="Arial" w:cs="Arial"/>
          <w:sz w:val="13"/>
          <w:szCs w:val="13"/>
        </w:rPr>
        <w:t>proxecto</w:t>
      </w:r>
      <w:proofErr w:type="spellEnd"/>
      <w:r w:rsidR="00953508" w:rsidRPr="006B05EB">
        <w:rPr>
          <w:rFonts w:ascii="Arial" w:eastAsia="Arial Narrow" w:hAnsi="Arial" w:cs="Arial"/>
          <w:sz w:val="13"/>
          <w:szCs w:val="13"/>
        </w:rPr>
        <w:t xml:space="preserve"> de interese autonómico e o </w:t>
      </w:r>
      <w:proofErr w:type="spellStart"/>
      <w:r w:rsidR="00953508" w:rsidRPr="006B05EB">
        <w:rPr>
          <w:rFonts w:ascii="Arial" w:eastAsia="Arial Narrow" w:hAnsi="Arial" w:cs="Arial"/>
          <w:sz w:val="13"/>
          <w:szCs w:val="13"/>
        </w:rPr>
        <w:t>estudo</w:t>
      </w:r>
      <w:proofErr w:type="spellEnd"/>
      <w:r w:rsidR="00953508" w:rsidRPr="006B05EB">
        <w:rPr>
          <w:rFonts w:ascii="Arial" w:eastAsia="Arial Narrow" w:hAnsi="Arial" w:cs="Arial"/>
          <w:sz w:val="13"/>
          <w:szCs w:val="13"/>
        </w:rPr>
        <w:t xml:space="preserve"> de impacto ambiental do </w:t>
      </w:r>
      <w:proofErr w:type="spellStart"/>
      <w:r w:rsidR="00953508" w:rsidRPr="006B05EB">
        <w:rPr>
          <w:rFonts w:ascii="Arial" w:eastAsia="Arial Narrow" w:hAnsi="Arial" w:cs="Arial"/>
          <w:sz w:val="13"/>
          <w:szCs w:val="13"/>
        </w:rPr>
        <w:t>proxecto</w:t>
      </w:r>
      <w:proofErr w:type="spellEnd"/>
      <w:r w:rsidR="00953508" w:rsidRPr="006B05EB">
        <w:rPr>
          <w:rFonts w:ascii="Arial" w:eastAsia="Arial Narrow" w:hAnsi="Arial" w:cs="Arial"/>
          <w:sz w:val="13"/>
          <w:szCs w:val="13"/>
        </w:rPr>
        <w:t xml:space="preserve"> do parque eólico </w:t>
      </w:r>
      <w:proofErr w:type="spellStart"/>
      <w:r w:rsidR="00953508" w:rsidRPr="006B05EB">
        <w:rPr>
          <w:rFonts w:ascii="Arial" w:eastAsia="Arial Narrow" w:hAnsi="Arial" w:cs="Arial"/>
          <w:sz w:val="13"/>
          <w:szCs w:val="13"/>
        </w:rPr>
        <w:t>Marcofán</w:t>
      </w:r>
      <w:proofErr w:type="spellEnd"/>
      <w:r w:rsidR="00953508" w:rsidRPr="006B05EB">
        <w:rPr>
          <w:rFonts w:ascii="Arial" w:eastAsia="Arial Narrow" w:hAnsi="Arial" w:cs="Arial"/>
          <w:sz w:val="13"/>
          <w:szCs w:val="13"/>
        </w:rPr>
        <w:t xml:space="preserve">, situado nos </w:t>
      </w:r>
      <w:proofErr w:type="spellStart"/>
      <w:r w:rsidR="00953508" w:rsidRPr="006B05EB">
        <w:rPr>
          <w:rFonts w:ascii="Arial" w:eastAsia="Arial Narrow" w:hAnsi="Arial" w:cs="Arial"/>
          <w:sz w:val="13"/>
          <w:szCs w:val="13"/>
        </w:rPr>
        <w:t>concellos</w:t>
      </w:r>
      <w:proofErr w:type="spellEnd"/>
      <w:r w:rsidR="00953508" w:rsidRPr="006B05EB">
        <w:rPr>
          <w:rFonts w:ascii="Arial" w:eastAsia="Arial Narrow" w:hAnsi="Arial" w:cs="Arial"/>
          <w:sz w:val="13"/>
          <w:szCs w:val="13"/>
        </w:rPr>
        <w:t xml:space="preserve"> do Irixo, </w:t>
      </w:r>
      <w:proofErr w:type="spellStart"/>
      <w:r w:rsidR="00953508" w:rsidRPr="006B05EB">
        <w:rPr>
          <w:rFonts w:ascii="Arial" w:eastAsia="Arial Narrow" w:hAnsi="Arial" w:cs="Arial"/>
          <w:sz w:val="13"/>
          <w:szCs w:val="13"/>
        </w:rPr>
        <w:t>Boborás</w:t>
      </w:r>
      <w:proofErr w:type="spellEnd"/>
      <w:r w:rsidR="00953508" w:rsidRPr="006B05EB">
        <w:rPr>
          <w:rFonts w:ascii="Arial" w:eastAsia="Arial Narrow" w:hAnsi="Arial" w:cs="Arial"/>
          <w:sz w:val="13"/>
          <w:szCs w:val="13"/>
        </w:rPr>
        <w:t xml:space="preserve"> e </w:t>
      </w:r>
      <w:proofErr w:type="spellStart"/>
      <w:r w:rsidR="00953508" w:rsidRPr="006B05EB">
        <w:rPr>
          <w:rFonts w:ascii="Arial" w:eastAsia="Arial Narrow" w:hAnsi="Arial" w:cs="Arial"/>
          <w:sz w:val="13"/>
          <w:szCs w:val="13"/>
        </w:rPr>
        <w:t>Beariz</w:t>
      </w:r>
      <w:proofErr w:type="spellEnd"/>
      <w:r w:rsidR="00953508" w:rsidRPr="006B05EB">
        <w:rPr>
          <w:rFonts w:ascii="Arial" w:eastAsia="Arial Narrow" w:hAnsi="Arial" w:cs="Arial"/>
          <w:sz w:val="13"/>
          <w:szCs w:val="13"/>
        </w:rPr>
        <w:t xml:space="preserve">, provincia de Ourense (expediente IN408A 2017/020), DOG Núm. 18, de 27 de </w:t>
      </w:r>
      <w:proofErr w:type="spellStart"/>
      <w:r w:rsidR="00953508" w:rsidRPr="006B05EB">
        <w:rPr>
          <w:rFonts w:ascii="Arial" w:eastAsia="Arial Narrow" w:hAnsi="Arial" w:cs="Arial"/>
          <w:sz w:val="13"/>
          <w:szCs w:val="13"/>
        </w:rPr>
        <w:t>xaneiro</w:t>
      </w:r>
      <w:proofErr w:type="spellEnd"/>
      <w:r w:rsidR="00953508" w:rsidRPr="006B05EB">
        <w:rPr>
          <w:rFonts w:ascii="Arial" w:eastAsia="Arial Narrow" w:hAnsi="Arial" w:cs="Arial"/>
          <w:sz w:val="13"/>
          <w:szCs w:val="13"/>
        </w:rPr>
        <w:t xml:space="preserve"> de 2022</w:t>
      </w:r>
      <w:r w:rsidR="009260E8" w:rsidRPr="006B05EB">
        <w:rPr>
          <w:rFonts w:ascii="Arial" w:eastAsia="Arial Narrow" w:hAnsi="Arial" w:cs="Arial"/>
          <w:sz w:val="13"/>
          <w:szCs w:val="13"/>
        </w:rPr>
        <w:t>,</w:t>
      </w:r>
      <w:r w:rsidRPr="006B05EB">
        <w:rPr>
          <w:rFonts w:ascii="Arial" w:eastAsia="Arial Narrow" w:hAnsi="Arial" w:cs="Arial"/>
          <w:sz w:val="13"/>
          <w:szCs w:val="13"/>
        </w:rPr>
        <w:t xml:space="preserve"> por medio do presente escrito realiza as </w:t>
      </w:r>
      <w:proofErr w:type="spellStart"/>
      <w:r w:rsidRPr="006B05EB">
        <w:rPr>
          <w:rFonts w:ascii="Arial" w:eastAsia="Arial Narrow" w:hAnsi="Arial" w:cs="Arial"/>
          <w:sz w:val="13"/>
          <w:szCs w:val="13"/>
        </w:rPr>
        <w:t>seguintes</w:t>
      </w:r>
      <w:proofErr w:type="spellEnd"/>
      <w:r w:rsidRPr="006B05EB">
        <w:rPr>
          <w:rFonts w:ascii="Arial" w:eastAsia="Arial Narrow" w:hAnsi="Arial" w:cs="Arial"/>
          <w:sz w:val="13"/>
          <w:szCs w:val="13"/>
        </w:rPr>
        <w:t xml:space="preserve"> </w:t>
      </w:r>
      <w:r w:rsidRPr="006B05EB">
        <w:rPr>
          <w:rFonts w:ascii="Arial" w:eastAsia="Arial Narrow" w:hAnsi="Arial" w:cs="Arial"/>
          <w:b/>
          <w:sz w:val="13"/>
          <w:szCs w:val="13"/>
          <w:u w:val="single"/>
        </w:rPr>
        <w:t>ALEGACIÓNS:</w:t>
      </w:r>
    </w:p>
    <w:p w14:paraId="0B658F44" w14:textId="070C1553" w:rsidR="0036582D" w:rsidRPr="006B05EB" w:rsidRDefault="00F17FB1" w:rsidP="00774349">
      <w:pPr>
        <w:spacing w:line="240" w:lineRule="auto"/>
        <w:jc w:val="both"/>
        <w:rPr>
          <w:rFonts w:ascii="Arial" w:eastAsia="Arial Narrow" w:hAnsi="Arial" w:cs="Arial"/>
          <w:b/>
          <w:sz w:val="13"/>
          <w:szCs w:val="13"/>
        </w:rPr>
      </w:pPr>
      <w:r w:rsidRPr="006B05EB">
        <w:rPr>
          <w:rFonts w:ascii="Arial" w:eastAsia="Arial Narrow" w:hAnsi="Arial" w:cs="Arial"/>
          <w:b/>
          <w:sz w:val="13"/>
          <w:szCs w:val="13"/>
        </w:rPr>
        <w:t xml:space="preserve">1.- Vulneración flagrante da Directiva 92/43/CEE, relativa á Conservación de Hábitats </w:t>
      </w:r>
      <w:proofErr w:type="spellStart"/>
      <w:r w:rsidRPr="006B05EB">
        <w:rPr>
          <w:rFonts w:ascii="Arial" w:eastAsia="Arial Narrow" w:hAnsi="Arial" w:cs="Arial"/>
          <w:b/>
          <w:sz w:val="13"/>
          <w:szCs w:val="13"/>
        </w:rPr>
        <w:t>Naturais</w:t>
      </w:r>
      <w:proofErr w:type="spellEnd"/>
      <w:r w:rsidRPr="006B05EB">
        <w:rPr>
          <w:rFonts w:ascii="Arial" w:eastAsia="Arial Narrow" w:hAnsi="Arial" w:cs="Arial"/>
          <w:b/>
          <w:sz w:val="13"/>
          <w:szCs w:val="13"/>
        </w:rPr>
        <w:t xml:space="preserve"> e da Fauna e Flora Silvestres.</w:t>
      </w:r>
    </w:p>
    <w:p w14:paraId="5235EB2F" w14:textId="77777777" w:rsidR="00097AB7" w:rsidRPr="006B05EB" w:rsidRDefault="00F17FB1" w:rsidP="001A6F7B">
      <w:pPr>
        <w:spacing w:line="240" w:lineRule="auto"/>
        <w:jc w:val="both"/>
        <w:rPr>
          <w:rFonts w:ascii="Arial" w:eastAsia="Arial Narrow" w:hAnsi="Arial" w:cs="Arial"/>
          <w:b/>
          <w:sz w:val="13"/>
          <w:szCs w:val="13"/>
        </w:rPr>
      </w:pPr>
      <w:r w:rsidRPr="006B05EB">
        <w:rPr>
          <w:rFonts w:ascii="Arial" w:eastAsia="Arial Narrow" w:hAnsi="Arial" w:cs="Arial"/>
          <w:b/>
          <w:sz w:val="13"/>
          <w:szCs w:val="13"/>
        </w:rPr>
        <w:t xml:space="preserve">2.- Impactos </w:t>
      </w:r>
      <w:proofErr w:type="spellStart"/>
      <w:r w:rsidRPr="006B05EB">
        <w:rPr>
          <w:rFonts w:ascii="Arial" w:eastAsia="Arial Narrow" w:hAnsi="Arial" w:cs="Arial"/>
          <w:b/>
          <w:sz w:val="13"/>
          <w:szCs w:val="13"/>
        </w:rPr>
        <w:t>ambientais</w:t>
      </w:r>
      <w:proofErr w:type="spellEnd"/>
      <w:r w:rsidRPr="006B05EB">
        <w:rPr>
          <w:rFonts w:ascii="Arial" w:eastAsia="Arial Narrow" w:hAnsi="Arial" w:cs="Arial"/>
          <w:b/>
          <w:sz w:val="13"/>
          <w:szCs w:val="13"/>
        </w:rPr>
        <w:t xml:space="preserve"> severos.</w:t>
      </w:r>
    </w:p>
    <w:p w14:paraId="798C4ED9" w14:textId="77777777" w:rsidR="0010776F" w:rsidRPr="006B05EB" w:rsidRDefault="0010776F" w:rsidP="00874BF6">
      <w:pPr>
        <w:pStyle w:val="Prrafodelista"/>
        <w:numPr>
          <w:ilvl w:val="0"/>
          <w:numId w:val="25"/>
        </w:numPr>
        <w:jc w:val="both"/>
        <w:rPr>
          <w:rFonts w:ascii="Arial" w:eastAsiaTheme="minorHAnsi" w:hAnsi="Arial" w:cs="Arial"/>
          <w:b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FRAGMENTACIÓN DO PROXECTO INDUSTRIAL EÓLICO EN VARIOS PROXECTOS INDEPENDENTES. DIVISIÓN ARTIFICIOSA E FRAUDE DE LEI.</w:t>
      </w:r>
    </w:p>
    <w:p w14:paraId="16B9E6CD" w14:textId="77777777" w:rsidR="00EF38AB" w:rsidRPr="006B05EB" w:rsidRDefault="00EF38AB" w:rsidP="00EF38AB">
      <w:pPr>
        <w:spacing w:line="240" w:lineRule="auto"/>
        <w:jc w:val="both"/>
        <w:rPr>
          <w:rFonts w:ascii="Arial" w:eastAsiaTheme="minorHAnsi" w:hAnsi="Arial" w:cs="Arial"/>
          <w:b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División artificiosa de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proxectos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aos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efectos da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avaliación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ambie</w:t>
      </w:r>
      <w:r w:rsidR="00A8039B"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ntal: </w:t>
      </w:r>
      <w:proofErr w:type="spellStart"/>
      <w:r w:rsidR="00A8039B"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proxecto</w:t>
      </w:r>
      <w:proofErr w:type="spellEnd"/>
      <w:r w:rsidR="00A8039B"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do parque eólico </w:t>
      </w:r>
      <w:proofErr w:type="spellStart"/>
      <w:r w:rsidR="00296779"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Marcofán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e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proxecto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da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liña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de evacuación.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Na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área afectada polo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proxecto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existen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outros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parques eólicos </w:t>
      </w:r>
      <w:proofErr w:type="gram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e</w:t>
      </w:r>
      <w:proofErr w:type="gram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liñas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de alta tensión de evacuación. Ausencia de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avaliación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ambiental acumulada e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sinérxica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da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totalidade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do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conxunto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das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infraestruturas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.</w:t>
      </w:r>
    </w:p>
    <w:p w14:paraId="72F0015D" w14:textId="77777777" w:rsidR="000312B1" w:rsidRPr="006B05EB" w:rsidRDefault="000312B1" w:rsidP="000312B1">
      <w:pPr>
        <w:spacing w:line="240" w:lineRule="auto"/>
        <w:jc w:val="both"/>
        <w:rPr>
          <w:rFonts w:ascii="Arial" w:eastAsiaTheme="minorHAnsi" w:hAnsi="Arial" w:cs="Arial"/>
          <w:b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2. Subestación colectora principal: SEC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Paraño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30/132/400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kV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.</w:t>
      </w:r>
    </w:p>
    <w:p w14:paraId="7C714CC2" w14:textId="77777777" w:rsidR="000312B1" w:rsidRPr="006B05EB" w:rsidRDefault="000312B1" w:rsidP="000312B1">
      <w:pPr>
        <w:spacing w:line="240" w:lineRule="auto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3. LAT 400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kV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SEC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Paraño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-SE REE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Beariz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>.</w:t>
      </w:r>
    </w:p>
    <w:p w14:paraId="3BA928F8" w14:textId="77777777" w:rsidR="00EF38AB" w:rsidRPr="006B05EB" w:rsidRDefault="00EF38AB" w:rsidP="005E0E90">
      <w:pPr>
        <w:pStyle w:val="Prrafode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Ausencia de planificación eólica actualizada </w:t>
      </w:r>
      <w:proofErr w:type="gram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e</w:t>
      </w:r>
      <w:proofErr w:type="gram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coherente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co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escenario actual de tramitación masiva de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instalacións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eólicas.</w:t>
      </w:r>
    </w:p>
    <w:p w14:paraId="4E92B803" w14:textId="77777777" w:rsidR="003B2E9B" w:rsidRPr="006B05EB" w:rsidRDefault="003B2E9B" w:rsidP="003B2E9B">
      <w:pPr>
        <w:spacing w:line="240" w:lineRule="auto"/>
        <w:jc w:val="both"/>
        <w:rPr>
          <w:rFonts w:ascii="Arial" w:eastAsiaTheme="minorHAnsi" w:hAnsi="Arial" w:cs="Arial"/>
          <w:b/>
          <w:sz w:val="13"/>
          <w:szCs w:val="13"/>
          <w:lang w:eastAsia="en-US"/>
        </w:rPr>
      </w:pPr>
    </w:p>
    <w:p w14:paraId="6DAA236E" w14:textId="77777777" w:rsidR="0010776F" w:rsidRPr="006B05EB" w:rsidRDefault="0010776F" w:rsidP="00874BF6">
      <w:pPr>
        <w:pStyle w:val="Prrafodelista"/>
        <w:numPr>
          <w:ilvl w:val="0"/>
          <w:numId w:val="25"/>
        </w:numPr>
        <w:jc w:val="both"/>
        <w:rPr>
          <w:rFonts w:ascii="Arial" w:eastAsiaTheme="minorHAnsi" w:hAnsi="Arial" w:cs="Arial"/>
          <w:b/>
          <w:bCs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Ausencia do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estudo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do potencial eólico entre a documentación sometida a exposición pública. </w:t>
      </w:r>
    </w:p>
    <w:p w14:paraId="331E12B8" w14:textId="77777777" w:rsidR="0010776F" w:rsidRPr="006B05EB" w:rsidRDefault="0010776F" w:rsidP="0010776F">
      <w:pPr>
        <w:jc w:val="both"/>
        <w:rPr>
          <w:rFonts w:ascii="Arial" w:eastAsiaTheme="minorHAnsi" w:hAnsi="Arial" w:cs="Arial"/>
          <w:b/>
          <w:bCs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Cs/>
          <w:sz w:val="13"/>
          <w:szCs w:val="13"/>
          <w:lang w:eastAsia="en-US"/>
        </w:rPr>
        <w:t>A mercantil promotora non acredita a existencia do recurso eólico.</w:t>
      </w:r>
    </w:p>
    <w:p w14:paraId="23C0FC14" w14:textId="77777777" w:rsidR="0010776F" w:rsidRPr="006B05EB" w:rsidRDefault="0010776F" w:rsidP="00874BF6">
      <w:pPr>
        <w:pStyle w:val="Prrafodelista"/>
        <w:numPr>
          <w:ilvl w:val="0"/>
          <w:numId w:val="25"/>
        </w:numPr>
        <w:jc w:val="both"/>
        <w:rPr>
          <w:rFonts w:ascii="Arial" w:eastAsiaTheme="minorHAnsi" w:hAnsi="Arial" w:cs="Arial"/>
          <w:b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Ausencia de retorno social do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proxecto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industrial eólico.</w:t>
      </w:r>
    </w:p>
    <w:p w14:paraId="3D935FEF" w14:textId="77777777" w:rsidR="0010776F" w:rsidRPr="006B05EB" w:rsidRDefault="0010776F" w:rsidP="0010776F">
      <w:pPr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A mercantil promotora non indica cal é o retorno social do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proxecto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>.</w:t>
      </w:r>
    </w:p>
    <w:p w14:paraId="66BAAF22" w14:textId="4AA1DDE7" w:rsidR="0010776F" w:rsidRPr="006B05EB" w:rsidRDefault="0010776F" w:rsidP="0010776F">
      <w:pPr>
        <w:pStyle w:val="Prrafodelista"/>
        <w:numPr>
          <w:ilvl w:val="0"/>
          <w:numId w:val="25"/>
        </w:numPr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Afección significativa, severa e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prexuizos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irreparables para a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Paisaxe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e á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biodiversidade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. Incremento do Feísmo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Paisaxístico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e afección severa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ao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turismo e á </w:t>
      </w:r>
      <w:proofErr w:type="spellStart"/>
      <w:proofErr w:type="gram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hostalería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:</w:t>
      </w:r>
      <w:r w:rsidRPr="006B05EB">
        <w:rPr>
          <w:rFonts w:ascii="Arial" w:eastAsiaTheme="minorHAnsi" w:hAnsi="Arial" w:cs="Arial"/>
          <w:sz w:val="13"/>
          <w:szCs w:val="13"/>
          <w:lang w:eastAsia="en-US"/>
        </w:rPr>
        <w:t>,</w:t>
      </w:r>
      <w:proofErr w:type="gram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</w:t>
      </w:r>
      <w:r w:rsidR="00774349" w:rsidRPr="006B05EB">
        <w:rPr>
          <w:rFonts w:ascii="Arial" w:eastAsiaTheme="minorHAnsi" w:hAnsi="Arial" w:cs="Arial"/>
          <w:sz w:val="13"/>
          <w:szCs w:val="13"/>
          <w:lang w:eastAsia="en-US"/>
        </w:rPr>
        <w:t>O</w:t>
      </w:r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proxecto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afecta de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maneira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irreversible a lugares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identitarios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para a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poboación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e as familias que viven, residen e/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ou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traballan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no ámbito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xeográfico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do parque e que resultan obviadas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pola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mercantil promotora</w:t>
      </w:r>
      <w:r w:rsidR="0018025C"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: </w:t>
      </w:r>
    </w:p>
    <w:p w14:paraId="22DDAA48" w14:textId="77777777" w:rsidR="00FD1336" w:rsidRPr="006B05EB" w:rsidRDefault="006A293E" w:rsidP="0010776F">
      <w:pPr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Mama do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Ouro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(821 metros),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Outeiro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Grande (834 metros), Coto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Fraiz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Porto dos Bois, Mama Grande, O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Sarrapiño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O Pico, Pena das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Servas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Alto de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Fornillos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(816 metros),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Lebozán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Os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Liñares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As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Fontes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Eira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do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Mosqueiro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Muíño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de Ramos,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Muíños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do río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Beariz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Os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Sarelos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Alto da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Vixía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Monte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Chancela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Alargo das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Poulas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Montes do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Testeiro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Campo do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Chancelo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Couto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do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Regueiro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ou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da Chaira (911 metros), Brañas das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Puzas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Foxo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Vello, As Vegadas, A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Devesa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O Ceo (801 metros), Coto de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Sonelle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As Brañas do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Mosqueiro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Espiñeiros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Capela de Sta. Rita, Alto do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Couto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Mirador de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Daquela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A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Ermida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, A </w:t>
      </w:r>
      <w:proofErr w:type="spellStart"/>
      <w:r w:rsidRPr="006B05EB">
        <w:rPr>
          <w:rFonts w:ascii="Arial" w:eastAsiaTheme="minorHAnsi" w:hAnsi="Arial" w:cs="Arial"/>
          <w:sz w:val="13"/>
          <w:szCs w:val="13"/>
          <w:lang w:eastAsia="en-US"/>
        </w:rPr>
        <w:t>Raposela</w:t>
      </w:r>
      <w:proofErr w:type="spellEnd"/>
      <w:r w:rsidRPr="006B05EB">
        <w:rPr>
          <w:rFonts w:ascii="Arial" w:eastAsiaTheme="minorHAnsi" w:hAnsi="Arial" w:cs="Arial"/>
          <w:sz w:val="13"/>
          <w:szCs w:val="13"/>
          <w:lang w:eastAsia="en-US"/>
        </w:rPr>
        <w:t>,…</w:t>
      </w:r>
      <w:r w:rsidR="005F47DB" w:rsidRPr="006B05EB">
        <w:rPr>
          <w:rFonts w:ascii="Arial" w:hAnsi="Arial" w:cs="Arial"/>
          <w:sz w:val="13"/>
          <w:szCs w:val="13"/>
        </w:rPr>
        <w:t xml:space="preserve"> </w:t>
      </w:r>
      <w:r w:rsidR="005F47DB"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Monte </w:t>
      </w:r>
      <w:proofErr w:type="spellStart"/>
      <w:r w:rsidR="005F47DB" w:rsidRPr="006B05EB">
        <w:rPr>
          <w:rFonts w:ascii="Arial" w:eastAsiaTheme="minorHAnsi" w:hAnsi="Arial" w:cs="Arial"/>
          <w:sz w:val="13"/>
          <w:szCs w:val="13"/>
          <w:lang w:eastAsia="en-US"/>
        </w:rPr>
        <w:t>Uceiro</w:t>
      </w:r>
      <w:proofErr w:type="spellEnd"/>
      <w:r w:rsidR="005F47DB"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(1003 metros) e a Pena </w:t>
      </w:r>
      <w:proofErr w:type="spellStart"/>
      <w:r w:rsidR="005F47DB" w:rsidRPr="006B05EB">
        <w:rPr>
          <w:rFonts w:ascii="Arial" w:eastAsiaTheme="minorHAnsi" w:hAnsi="Arial" w:cs="Arial"/>
          <w:sz w:val="13"/>
          <w:szCs w:val="13"/>
          <w:lang w:eastAsia="en-US"/>
        </w:rPr>
        <w:t>Pixín</w:t>
      </w:r>
      <w:proofErr w:type="spellEnd"/>
      <w:r w:rsidR="005F47DB"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(988 metros)…</w:t>
      </w:r>
      <w:r w:rsidRPr="006B05EB">
        <w:rPr>
          <w:rFonts w:ascii="Arial" w:eastAsiaTheme="minorHAnsi" w:hAnsi="Arial" w:cs="Arial"/>
          <w:sz w:val="13"/>
          <w:szCs w:val="13"/>
          <w:lang w:eastAsia="en-US"/>
        </w:rPr>
        <w:t>etc.</w:t>
      </w:r>
    </w:p>
    <w:p w14:paraId="088131EE" w14:textId="77777777" w:rsidR="0010776F" w:rsidRPr="006B05EB" w:rsidRDefault="0010776F" w:rsidP="00874BF6">
      <w:pPr>
        <w:pStyle w:val="Prrafodelista"/>
        <w:numPr>
          <w:ilvl w:val="0"/>
          <w:numId w:val="25"/>
        </w:numPr>
        <w:jc w:val="both"/>
        <w:rPr>
          <w:rFonts w:ascii="Arial" w:eastAsiaTheme="minorHAnsi" w:hAnsi="Arial" w:cs="Arial"/>
          <w:b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Afección severa e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prexuizos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irreversibles para as Áreas de Interés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paisaxístico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</w:t>
      </w:r>
      <w:proofErr w:type="gram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( AEIP</w:t>
      </w:r>
      <w:proofErr w:type="gram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):</w:t>
      </w:r>
    </w:p>
    <w:p w14:paraId="4B41667D" w14:textId="77777777" w:rsidR="0010776F" w:rsidRPr="006B05EB" w:rsidRDefault="0010776F" w:rsidP="00874BF6">
      <w:pPr>
        <w:pStyle w:val="Prrafodelista"/>
        <w:numPr>
          <w:ilvl w:val="0"/>
          <w:numId w:val="25"/>
        </w:numPr>
        <w:autoSpaceDE w:val="0"/>
        <w:autoSpaceDN w:val="0"/>
        <w:adjustRightInd w:val="0"/>
        <w:rPr>
          <w:rFonts w:ascii="Arial" w:eastAsiaTheme="minorHAnsi" w:hAnsi="Arial" w:cs="Arial"/>
          <w:b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Afección severa a itinerarios de carácter patrimonial e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ás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paisaxes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. Afección severa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ao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turismo e á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hostalería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. Afección severa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ao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Camiño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de Santiago.</w:t>
      </w:r>
    </w:p>
    <w:p w14:paraId="5EA4B86A" w14:textId="77777777" w:rsidR="005E0E90" w:rsidRPr="006B05EB" w:rsidRDefault="0010776F" w:rsidP="005E0E90">
      <w:pPr>
        <w:pStyle w:val="Prrafodelista"/>
        <w:numPr>
          <w:ilvl w:val="0"/>
          <w:numId w:val="25"/>
        </w:numPr>
        <w:jc w:val="both"/>
        <w:rPr>
          <w:rFonts w:ascii="Arial" w:eastAsiaTheme="minorHAnsi" w:hAnsi="Arial" w:cs="Arial"/>
          <w:b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Afección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moi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severa e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prexuizos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irreparables para a Rede Natura 2000 e a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súa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coherencia. Falla de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conectividade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ecolóxica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entre os ecosistemas.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Cómpre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ter en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conta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que as especies non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entenden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de límites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xeográficos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e que o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mantemento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da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conectividade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ecolóxica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é fundamental para o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mantemento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dos ecosistemas </w:t>
      </w:r>
      <w:proofErr w:type="gram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e</w:t>
      </w:r>
      <w:proofErr w:type="gram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da coherencia da propia Rede. Afección significativa </w:t>
      </w:r>
      <w:proofErr w:type="gram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e</w:t>
      </w:r>
      <w:proofErr w:type="gram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danos irreversibles a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outros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espazos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protexidos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:</w:t>
      </w:r>
    </w:p>
    <w:p w14:paraId="1126F0BB" w14:textId="64595D82" w:rsidR="0010776F" w:rsidRPr="006B05EB" w:rsidRDefault="0010776F" w:rsidP="00874BF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Afección severa e irreversible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ao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benestar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dás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familias que viven, residen e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traballan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nos núcleos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rurais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afectados</w:t>
      </w:r>
      <w:r w:rsidR="00774349"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.</w:t>
      </w:r>
    </w:p>
    <w:p w14:paraId="32496822" w14:textId="77777777" w:rsidR="0010776F" w:rsidRPr="006B05EB" w:rsidRDefault="0010776F" w:rsidP="00874BF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ÉXODO POBOACIONAL PARELLO Á INSTALACIÓN DE INDUSTRIAS AGRESIVAS COA ENTORNA E CO MEDIO AMBIENTE. PRESIÓN INDUSTRIAL EXCESIVA: </w:t>
      </w:r>
    </w:p>
    <w:p w14:paraId="12DE21B0" w14:textId="77777777" w:rsidR="008F5A5B" w:rsidRPr="006B05EB" w:rsidRDefault="008F5A5B" w:rsidP="008F5A5B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Impactos sobre a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saúde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humana e o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benestar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dás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familias afectadas</w:t>
      </w:r>
    </w:p>
    <w:p w14:paraId="4AB927EE" w14:textId="77777777" w:rsidR="0010776F" w:rsidRPr="006B05EB" w:rsidRDefault="0010776F" w:rsidP="00874BF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VULNERACIÓN FLAGRANTE DA LEI 7/2012, DE 28 DE XUÑO DE MONTES DE GALICIA.ELIMINACIÓN DA MULTIFUNCIONALIDADE DO MONTE. </w:t>
      </w:r>
    </w:p>
    <w:p w14:paraId="50E7141E" w14:textId="77777777" w:rsidR="0010776F" w:rsidRPr="006B05EB" w:rsidRDefault="0010776F" w:rsidP="00874BF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AFECCIÓN SEVERA E PREXUIZOS SERIOS E IRREPARABLES PARA AS EXPLOTACIÓNS AGRO-GANDEIRAS DA ÁREA DE AFECCIÓN DO PROXECTO: </w:t>
      </w:r>
    </w:p>
    <w:p w14:paraId="2A229BD0" w14:textId="77777777" w:rsidR="0010776F" w:rsidRPr="006B05EB" w:rsidRDefault="0010776F" w:rsidP="00874BF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Prexuizos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significativos </w:t>
      </w:r>
      <w:proofErr w:type="gram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e</w:t>
      </w:r>
      <w:proofErr w:type="gram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danos irreversibles para os hábitats prioritarios e de interés comunitario: </w:t>
      </w:r>
    </w:p>
    <w:p w14:paraId="61AAF828" w14:textId="77777777" w:rsidR="0010776F" w:rsidRPr="006B05EB" w:rsidRDefault="0010776F" w:rsidP="00874BF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Prexuizos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significativos e irreparables para o bosque de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ribeira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e o bosque autóctono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galego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ou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ancient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wood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: </w:t>
      </w:r>
    </w:p>
    <w:p w14:paraId="1A8B74F0" w14:textId="77777777" w:rsidR="001D7B7E" w:rsidRPr="006B05EB" w:rsidRDefault="001D7B7E" w:rsidP="001D7B7E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13"/>
          <w:szCs w:val="13"/>
        </w:rPr>
      </w:pPr>
      <w:proofErr w:type="spellStart"/>
      <w:r w:rsidRPr="006B05EB">
        <w:rPr>
          <w:rFonts w:ascii="Arial" w:hAnsi="Arial" w:cs="Arial"/>
          <w:b/>
          <w:bCs/>
          <w:sz w:val="13"/>
          <w:szCs w:val="13"/>
        </w:rPr>
        <w:t>Prexuizos</w:t>
      </w:r>
      <w:proofErr w:type="spellEnd"/>
      <w:r w:rsidRPr="006B05EB">
        <w:rPr>
          <w:rFonts w:ascii="Arial" w:hAnsi="Arial" w:cs="Arial"/>
          <w:b/>
          <w:bCs/>
          <w:sz w:val="13"/>
          <w:szCs w:val="13"/>
        </w:rPr>
        <w:t xml:space="preserve"> irreversibles para o Lobo e para a </w:t>
      </w:r>
      <w:proofErr w:type="spellStart"/>
      <w:r w:rsidRPr="006B05EB">
        <w:rPr>
          <w:rFonts w:ascii="Arial" w:hAnsi="Arial" w:cs="Arial"/>
          <w:b/>
          <w:bCs/>
          <w:sz w:val="13"/>
          <w:szCs w:val="13"/>
        </w:rPr>
        <w:t>viabilidade</w:t>
      </w:r>
      <w:proofErr w:type="spellEnd"/>
      <w:r w:rsidRPr="006B05EB">
        <w:rPr>
          <w:rFonts w:ascii="Arial" w:hAnsi="Arial" w:cs="Arial"/>
          <w:b/>
          <w:bCs/>
          <w:sz w:val="13"/>
          <w:szCs w:val="13"/>
        </w:rPr>
        <w:t xml:space="preserve"> da especie derivados </w:t>
      </w:r>
      <w:r w:rsidR="00BD5323" w:rsidRPr="006B05EB">
        <w:rPr>
          <w:rFonts w:ascii="Arial" w:hAnsi="Arial" w:cs="Arial"/>
          <w:b/>
          <w:bCs/>
          <w:sz w:val="13"/>
          <w:szCs w:val="13"/>
        </w:rPr>
        <w:t xml:space="preserve">do </w:t>
      </w:r>
      <w:proofErr w:type="spellStart"/>
      <w:r w:rsidR="00BD5323" w:rsidRPr="006B05EB">
        <w:rPr>
          <w:rFonts w:ascii="Arial" w:hAnsi="Arial" w:cs="Arial"/>
          <w:b/>
          <w:bCs/>
          <w:sz w:val="13"/>
          <w:szCs w:val="13"/>
        </w:rPr>
        <w:t>proxecto</w:t>
      </w:r>
      <w:proofErr w:type="spellEnd"/>
      <w:r w:rsidR="00BD5323" w:rsidRPr="006B05EB">
        <w:rPr>
          <w:rFonts w:ascii="Arial" w:hAnsi="Arial" w:cs="Arial"/>
          <w:b/>
          <w:bCs/>
          <w:sz w:val="13"/>
          <w:szCs w:val="13"/>
        </w:rPr>
        <w:t xml:space="preserve"> eólico </w:t>
      </w:r>
      <w:proofErr w:type="spellStart"/>
      <w:r w:rsidR="00C34D7C" w:rsidRPr="006B05EB">
        <w:rPr>
          <w:rFonts w:ascii="Arial" w:hAnsi="Arial" w:cs="Arial"/>
          <w:b/>
          <w:bCs/>
          <w:sz w:val="13"/>
          <w:szCs w:val="13"/>
        </w:rPr>
        <w:t>Marcofán</w:t>
      </w:r>
      <w:proofErr w:type="spellEnd"/>
      <w:r w:rsidR="003C6F45" w:rsidRPr="006B05EB">
        <w:rPr>
          <w:rFonts w:ascii="Arial" w:hAnsi="Arial" w:cs="Arial"/>
          <w:b/>
          <w:bCs/>
          <w:sz w:val="13"/>
          <w:szCs w:val="13"/>
        </w:rPr>
        <w:t xml:space="preserve"> e </w:t>
      </w:r>
      <w:proofErr w:type="spellStart"/>
      <w:r w:rsidR="003C6F45" w:rsidRPr="006B05EB">
        <w:rPr>
          <w:rFonts w:ascii="Arial" w:hAnsi="Arial" w:cs="Arial"/>
          <w:b/>
          <w:bCs/>
          <w:sz w:val="13"/>
          <w:szCs w:val="13"/>
        </w:rPr>
        <w:t>demais</w:t>
      </w:r>
      <w:proofErr w:type="spellEnd"/>
      <w:r w:rsidR="003C6F45" w:rsidRPr="006B05EB">
        <w:rPr>
          <w:rFonts w:ascii="Arial" w:hAnsi="Arial" w:cs="Arial"/>
          <w:b/>
          <w:bCs/>
          <w:sz w:val="13"/>
          <w:szCs w:val="13"/>
        </w:rPr>
        <w:t xml:space="preserve"> </w:t>
      </w:r>
      <w:proofErr w:type="spellStart"/>
      <w:r w:rsidR="003C6F45" w:rsidRPr="006B05EB">
        <w:rPr>
          <w:rFonts w:ascii="Arial" w:hAnsi="Arial" w:cs="Arial"/>
          <w:b/>
          <w:bCs/>
          <w:sz w:val="13"/>
          <w:szCs w:val="13"/>
        </w:rPr>
        <w:t>infraestruturas</w:t>
      </w:r>
      <w:proofErr w:type="spellEnd"/>
      <w:r w:rsidR="003C6F45" w:rsidRPr="006B05EB">
        <w:rPr>
          <w:rFonts w:ascii="Arial" w:hAnsi="Arial" w:cs="Arial"/>
          <w:b/>
          <w:bCs/>
          <w:sz w:val="13"/>
          <w:szCs w:val="13"/>
        </w:rPr>
        <w:t xml:space="preserve"> asociadas (</w:t>
      </w:r>
      <w:proofErr w:type="spellStart"/>
      <w:r w:rsidR="003C6F45" w:rsidRPr="006B05EB">
        <w:rPr>
          <w:rFonts w:ascii="Arial" w:hAnsi="Arial" w:cs="Arial"/>
          <w:b/>
          <w:bCs/>
          <w:sz w:val="13"/>
          <w:szCs w:val="13"/>
        </w:rPr>
        <w:t>obxecto</w:t>
      </w:r>
      <w:proofErr w:type="spellEnd"/>
      <w:r w:rsidR="003C6F45" w:rsidRPr="006B05EB">
        <w:rPr>
          <w:rFonts w:ascii="Arial" w:hAnsi="Arial" w:cs="Arial"/>
          <w:b/>
          <w:bCs/>
          <w:sz w:val="13"/>
          <w:szCs w:val="13"/>
        </w:rPr>
        <w:t xml:space="preserve"> </w:t>
      </w:r>
      <w:proofErr w:type="spellStart"/>
      <w:r w:rsidR="003C6F45" w:rsidRPr="006B05EB">
        <w:rPr>
          <w:rFonts w:ascii="Arial" w:hAnsi="Arial" w:cs="Arial"/>
          <w:b/>
          <w:bCs/>
          <w:sz w:val="13"/>
          <w:szCs w:val="13"/>
        </w:rPr>
        <w:t>doutros</w:t>
      </w:r>
      <w:proofErr w:type="spellEnd"/>
      <w:r w:rsidR="003C6F45" w:rsidRPr="006B05EB">
        <w:rPr>
          <w:rFonts w:ascii="Arial" w:hAnsi="Arial" w:cs="Arial"/>
          <w:b/>
          <w:bCs/>
          <w:sz w:val="13"/>
          <w:szCs w:val="13"/>
        </w:rPr>
        <w:t xml:space="preserve"> </w:t>
      </w:r>
      <w:proofErr w:type="spellStart"/>
      <w:r w:rsidR="003C6F45" w:rsidRPr="006B05EB">
        <w:rPr>
          <w:rFonts w:ascii="Arial" w:hAnsi="Arial" w:cs="Arial"/>
          <w:b/>
          <w:bCs/>
          <w:sz w:val="13"/>
          <w:szCs w:val="13"/>
        </w:rPr>
        <w:t>proxectos</w:t>
      </w:r>
      <w:proofErr w:type="spellEnd"/>
      <w:r w:rsidR="003C6F45" w:rsidRPr="006B05EB">
        <w:rPr>
          <w:rFonts w:ascii="Arial" w:hAnsi="Arial" w:cs="Arial"/>
          <w:b/>
          <w:bCs/>
          <w:sz w:val="13"/>
          <w:szCs w:val="13"/>
        </w:rPr>
        <w:t xml:space="preserve"> </w:t>
      </w:r>
      <w:proofErr w:type="spellStart"/>
      <w:r w:rsidR="003C6F45" w:rsidRPr="006B05EB">
        <w:rPr>
          <w:rFonts w:ascii="Arial" w:hAnsi="Arial" w:cs="Arial"/>
          <w:b/>
          <w:bCs/>
          <w:sz w:val="13"/>
          <w:szCs w:val="13"/>
        </w:rPr>
        <w:t>independentes</w:t>
      </w:r>
      <w:proofErr w:type="spellEnd"/>
      <w:r w:rsidR="003C6F45" w:rsidRPr="006B05EB">
        <w:rPr>
          <w:rFonts w:ascii="Arial" w:hAnsi="Arial" w:cs="Arial"/>
          <w:b/>
          <w:bCs/>
          <w:sz w:val="13"/>
          <w:szCs w:val="13"/>
        </w:rPr>
        <w:t xml:space="preserve"> </w:t>
      </w:r>
      <w:proofErr w:type="gramStart"/>
      <w:r w:rsidR="003C6F45" w:rsidRPr="006B05EB">
        <w:rPr>
          <w:rFonts w:ascii="Arial" w:hAnsi="Arial" w:cs="Arial"/>
          <w:b/>
          <w:bCs/>
          <w:sz w:val="13"/>
          <w:szCs w:val="13"/>
        </w:rPr>
        <w:t>e</w:t>
      </w:r>
      <w:proofErr w:type="gramEnd"/>
      <w:r w:rsidR="003C6F45" w:rsidRPr="006B05EB">
        <w:rPr>
          <w:rFonts w:ascii="Arial" w:hAnsi="Arial" w:cs="Arial"/>
          <w:b/>
          <w:bCs/>
          <w:sz w:val="13"/>
          <w:szCs w:val="13"/>
        </w:rPr>
        <w:t xml:space="preserve"> non sometidas á presente </w:t>
      </w:r>
      <w:proofErr w:type="spellStart"/>
      <w:r w:rsidR="003C6F45" w:rsidRPr="006B05EB">
        <w:rPr>
          <w:rFonts w:ascii="Arial" w:hAnsi="Arial" w:cs="Arial"/>
          <w:b/>
          <w:bCs/>
          <w:sz w:val="13"/>
          <w:szCs w:val="13"/>
        </w:rPr>
        <w:t>avaliación</w:t>
      </w:r>
      <w:proofErr w:type="spellEnd"/>
      <w:r w:rsidR="003C6F45" w:rsidRPr="006B05EB">
        <w:rPr>
          <w:rFonts w:ascii="Arial" w:hAnsi="Arial" w:cs="Arial"/>
          <w:b/>
          <w:bCs/>
          <w:sz w:val="13"/>
          <w:szCs w:val="13"/>
        </w:rPr>
        <w:t xml:space="preserve"> ambiental).</w:t>
      </w:r>
      <w:r w:rsidRPr="006B05EB">
        <w:rPr>
          <w:rFonts w:ascii="Arial" w:hAnsi="Arial" w:cs="Arial"/>
          <w:b/>
          <w:bCs/>
          <w:sz w:val="13"/>
          <w:szCs w:val="13"/>
        </w:rPr>
        <w:t xml:space="preserve"> Afección </w:t>
      </w:r>
      <w:proofErr w:type="spellStart"/>
      <w:r w:rsidRPr="006B05EB">
        <w:rPr>
          <w:rFonts w:ascii="Arial" w:hAnsi="Arial" w:cs="Arial"/>
          <w:b/>
          <w:bCs/>
          <w:sz w:val="13"/>
          <w:szCs w:val="13"/>
        </w:rPr>
        <w:t>aos</w:t>
      </w:r>
      <w:proofErr w:type="spellEnd"/>
      <w:r w:rsidRPr="006B05EB">
        <w:rPr>
          <w:rFonts w:ascii="Arial" w:hAnsi="Arial" w:cs="Arial"/>
          <w:b/>
          <w:bCs/>
          <w:sz w:val="13"/>
          <w:szCs w:val="13"/>
        </w:rPr>
        <w:t xml:space="preserve"> </w:t>
      </w:r>
      <w:proofErr w:type="spellStart"/>
      <w:r w:rsidRPr="006B05EB">
        <w:rPr>
          <w:rFonts w:ascii="Arial" w:hAnsi="Arial" w:cs="Arial"/>
          <w:b/>
          <w:bCs/>
          <w:sz w:val="13"/>
          <w:szCs w:val="13"/>
        </w:rPr>
        <w:t>seus</w:t>
      </w:r>
      <w:proofErr w:type="spellEnd"/>
      <w:r w:rsidRPr="006B05EB">
        <w:rPr>
          <w:rFonts w:ascii="Arial" w:hAnsi="Arial" w:cs="Arial"/>
          <w:b/>
          <w:bCs/>
          <w:sz w:val="13"/>
          <w:szCs w:val="13"/>
        </w:rPr>
        <w:t xml:space="preserve"> puntos de encame </w:t>
      </w:r>
      <w:proofErr w:type="gramStart"/>
      <w:r w:rsidRPr="006B05EB">
        <w:rPr>
          <w:rFonts w:ascii="Arial" w:hAnsi="Arial" w:cs="Arial"/>
          <w:b/>
          <w:bCs/>
          <w:sz w:val="13"/>
          <w:szCs w:val="13"/>
        </w:rPr>
        <w:t>e</w:t>
      </w:r>
      <w:proofErr w:type="gramEnd"/>
      <w:r w:rsidRPr="006B05EB">
        <w:rPr>
          <w:rFonts w:ascii="Arial" w:hAnsi="Arial" w:cs="Arial"/>
          <w:b/>
          <w:bCs/>
          <w:sz w:val="13"/>
          <w:szCs w:val="13"/>
        </w:rPr>
        <w:t xml:space="preserve"> puntos de </w:t>
      </w:r>
      <w:proofErr w:type="spellStart"/>
      <w:r w:rsidRPr="006B05EB">
        <w:rPr>
          <w:rFonts w:ascii="Arial" w:hAnsi="Arial" w:cs="Arial"/>
          <w:b/>
          <w:bCs/>
          <w:sz w:val="13"/>
          <w:szCs w:val="13"/>
        </w:rPr>
        <w:t>encontro</w:t>
      </w:r>
      <w:proofErr w:type="spellEnd"/>
      <w:r w:rsidRPr="006B05EB">
        <w:rPr>
          <w:rFonts w:ascii="Arial" w:hAnsi="Arial" w:cs="Arial"/>
          <w:b/>
          <w:bCs/>
          <w:sz w:val="13"/>
          <w:szCs w:val="13"/>
        </w:rPr>
        <w:t xml:space="preserve"> </w:t>
      </w:r>
      <w:proofErr w:type="spellStart"/>
      <w:r w:rsidRPr="006B05EB">
        <w:rPr>
          <w:rFonts w:ascii="Arial" w:hAnsi="Arial" w:cs="Arial"/>
          <w:b/>
          <w:bCs/>
          <w:sz w:val="13"/>
          <w:szCs w:val="13"/>
        </w:rPr>
        <w:t>lobeiros</w:t>
      </w:r>
      <w:proofErr w:type="spellEnd"/>
      <w:r w:rsidRPr="006B05EB">
        <w:rPr>
          <w:rFonts w:ascii="Arial" w:hAnsi="Arial" w:cs="Arial"/>
          <w:b/>
          <w:bCs/>
          <w:sz w:val="13"/>
          <w:szCs w:val="13"/>
        </w:rPr>
        <w:t>.</w:t>
      </w:r>
    </w:p>
    <w:p w14:paraId="6C0823C6" w14:textId="64D34019" w:rsidR="00774349" w:rsidRPr="006B05EB" w:rsidRDefault="001D7B7E" w:rsidP="00774349">
      <w:pPr>
        <w:numPr>
          <w:ilvl w:val="0"/>
          <w:numId w:val="29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13"/>
          <w:szCs w:val="13"/>
        </w:rPr>
      </w:pPr>
      <w:r w:rsidRPr="006B05EB">
        <w:rPr>
          <w:rFonts w:ascii="Arial" w:hAnsi="Arial" w:cs="Arial"/>
          <w:b/>
          <w:bCs/>
          <w:sz w:val="13"/>
          <w:szCs w:val="13"/>
        </w:rPr>
        <w:t xml:space="preserve">Afección </w:t>
      </w:r>
      <w:proofErr w:type="spellStart"/>
      <w:r w:rsidRPr="006B05EB">
        <w:rPr>
          <w:rFonts w:ascii="Arial" w:hAnsi="Arial" w:cs="Arial"/>
          <w:b/>
          <w:bCs/>
          <w:sz w:val="13"/>
          <w:szCs w:val="13"/>
        </w:rPr>
        <w:t>moi</w:t>
      </w:r>
      <w:proofErr w:type="spellEnd"/>
      <w:r w:rsidRPr="006B05EB">
        <w:rPr>
          <w:rFonts w:ascii="Arial" w:hAnsi="Arial" w:cs="Arial"/>
          <w:b/>
          <w:bCs/>
          <w:sz w:val="13"/>
          <w:szCs w:val="13"/>
        </w:rPr>
        <w:t xml:space="preserve"> severa e </w:t>
      </w:r>
      <w:proofErr w:type="spellStart"/>
      <w:r w:rsidRPr="006B05EB">
        <w:rPr>
          <w:rFonts w:ascii="Arial" w:hAnsi="Arial" w:cs="Arial"/>
          <w:b/>
          <w:bCs/>
          <w:sz w:val="13"/>
          <w:szCs w:val="13"/>
        </w:rPr>
        <w:t>prexuizos</w:t>
      </w:r>
      <w:proofErr w:type="spellEnd"/>
      <w:r w:rsidRPr="006B05EB">
        <w:rPr>
          <w:rFonts w:ascii="Arial" w:hAnsi="Arial" w:cs="Arial"/>
          <w:b/>
          <w:bCs/>
          <w:sz w:val="13"/>
          <w:szCs w:val="13"/>
        </w:rPr>
        <w:t xml:space="preserve"> significativos para os recursos hídricos. Vulneración flagrante da Directiva Marco </w:t>
      </w:r>
      <w:proofErr w:type="spellStart"/>
      <w:r w:rsidRPr="006B05EB">
        <w:rPr>
          <w:rFonts w:ascii="Arial" w:hAnsi="Arial" w:cs="Arial"/>
          <w:b/>
          <w:bCs/>
          <w:sz w:val="13"/>
          <w:szCs w:val="13"/>
        </w:rPr>
        <w:t>dá</w:t>
      </w:r>
      <w:proofErr w:type="spellEnd"/>
      <w:r w:rsidRPr="006B05EB">
        <w:rPr>
          <w:rFonts w:ascii="Arial" w:hAnsi="Arial" w:cs="Arial"/>
          <w:b/>
          <w:bCs/>
          <w:sz w:val="13"/>
          <w:szCs w:val="13"/>
        </w:rPr>
        <w:t xml:space="preserve"> </w:t>
      </w:r>
      <w:proofErr w:type="spellStart"/>
      <w:r w:rsidRPr="006B05EB">
        <w:rPr>
          <w:rFonts w:ascii="Arial" w:hAnsi="Arial" w:cs="Arial"/>
          <w:b/>
          <w:bCs/>
          <w:sz w:val="13"/>
          <w:szCs w:val="13"/>
        </w:rPr>
        <w:t>Auga</w:t>
      </w:r>
      <w:proofErr w:type="spellEnd"/>
      <w:r w:rsidRPr="006B05EB">
        <w:rPr>
          <w:rFonts w:ascii="Arial" w:hAnsi="Arial" w:cs="Arial"/>
          <w:b/>
          <w:bCs/>
          <w:sz w:val="13"/>
          <w:szCs w:val="13"/>
        </w:rPr>
        <w:t xml:space="preserve"> (DMA). AUSENCIA DUN ESTUDO HIDROLÓXICO E HIDROXEOLÓXICO QUE GARANTA A CALIDADE DAS MASAS DE AUGA SUPERFICIAIS E SOTERRADAS E A NON AFECCIÓN AOS ACUÍFEROS: </w:t>
      </w:r>
    </w:p>
    <w:p w14:paraId="24895B2D" w14:textId="536530A6" w:rsidR="001D7B7E" w:rsidRPr="006B05EB" w:rsidRDefault="001D7B7E" w:rsidP="001D7B7E">
      <w:pPr>
        <w:numPr>
          <w:ilvl w:val="0"/>
          <w:numId w:val="28"/>
        </w:numPr>
        <w:contextualSpacing/>
        <w:jc w:val="both"/>
        <w:rPr>
          <w:rFonts w:ascii="Arial" w:eastAsiaTheme="minorHAnsi" w:hAnsi="Arial" w:cs="Arial"/>
          <w:b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Afección severa e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prexuizos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irreversibles para o sistema de brañas e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humidais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da zona de afección do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proxecto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:</w:t>
      </w:r>
    </w:p>
    <w:p w14:paraId="26A82E37" w14:textId="77777777" w:rsidR="000D0D32" w:rsidRPr="006B05EB" w:rsidRDefault="000D0D32" w:rsidP="000D0D32">
      <w:pPr>
        <w:numPr>
          <w:ilvl w:val="0"/>
          <w:numId w:val="30"/>
        </w:numPr>
        <w:contextualSpacing/>
        <w:jc w:val="both"/>
        <w:outlineLvl w:val="1"/>
        <w:rPr>
          <w:rFonts w:ascii="Arial" w:eastAsiaTheme="minorHAnsi" w:hAnsi="Arial" w:cs="Arial"/>
          <w:b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Vulneración normativa:</w:t>
      </w:r>
    </w:p>
    <w:p w14:paraId="1D01BBB0" w14:textId="77777777" w:rsidR="000D0D32" w:rsidRPr="006B05EB" w:rsidRDefault="000D0D32" w:rsidP="000D0D32">
      <w:pPr>
        <w:jc w:val="both"/>
        <w:outlineLvl w:val="1"/>
        <w:rPr>
          <w:rFonts w:ascii="Arial" w:eastAsiaTheme="minorHAnsi" w:hAnsi="Arial" w:cs="Arial"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**Artigo 59 da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Lei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7/2012, de 12 de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xuño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. Cambio de uso forestal</w:t>
      </w:r>
      <w:r w:rsidRPr="006B05EB">
        <w:rPr>
          <w:rFonts w:ascii="Arial" w:eastAsiaTheme="minorHAnsi" w:hAnsi="Arial" w:cs="Arial"/>
          <w:sz w:val="13"/>
          <w:szCs w:val="13"/>
          <w:lang w:eastAsia="en-US"/>
        </w:rPr>
        <w:t xml:space="preserve"> </w:t>
      </w:r>
    </w:p>
    <w:p w14:paraId="5C511737" w14:textId="77777777" w:rsidR="000D0D32" w:rsidRPr="006B05EB" w:rsidRDefault="000D0D32" w:rsidP="000D0D32">
      <w:pPr>
        <w:jc w:val="both"/>
        <w:outlineLvl w:val="1"/>
        <w:rPr>
          <w:rFonts w:ascii="Arial" w:eastAsiaTheme="minorHAnsi" w:hAnsi="Arial" w:cs="Arial"/>
          <w:b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A normativa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vixente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impide a recalificación urbanística dos </w:t>
      </w:r>
      <w:proofErr w:type="spellStart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>terreos</w:t>
      </w:r>
      <w:proofErr w:type="spellEnd"/>
      <w:r w:rsidRPr="006B05EB">
        <w:rPr>
          <w:rFonts w:ascii="Arial" w:eastAsiaTheme="minorHAnsi" w:hAnsi="Arial" w:cs="Arial"/>
          <w:b/>
          <w:sz w:val="13"/>
          <w:szCs w:val="13"/>
          <w:lang w:eastAsia="en-US"/>
        </w:rPr>
        <w:t xml:space="preserve"> incendiados como é o presente caso.</w:t>
      </w:r>
    </w:p>
    <w:p w14:paraId="2DF47FA2" w14:textId="77777777" w:rsidR="0010776F" w:rsidRPr="006B05EB" w:rsidRDefault="0010776F" w:rsidP="00874BF6">
      <w:pPr>
        <w:pStyle w:val="Prrafodelista"/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sz w:val="13"/>
          <w:szCs w:val="13"/>
          <w:lang w:eastAsia="en-US"/>
        </w:rPr>
      </w:pP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Prexuizos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significativos e incompatibles coa avifauna: </w:t>
      </w:r>
    </w:p>
    <w:p w14:paraId="75EDBD69" w14:textId="77777777" w:rsidR="0010776F" w:rsidRPr="006B05EB" w:rsidRDefault="0010776F" w:rsidP="00874BF6">
      <w:pPr>
        <w:pStyle w:val="Prrafodelista"/>
        <w:numPr>
          <w:ilvl w:val="0"/>
          <w:numId w:val="25"/>
        </w:numPr>
        <w:jc w:val="both"/>
        <w:rPr>
          <w:rFonts w:ascii="Arial" w:eastAsiaTheme="minorHAnsi" w:hAnsi="Arial" w:cs="Arial"/>
          <w:b/>
          <w:bCs/>
          <w:sz w:val="13"/>
          <w:szCs w:val="13"/>
          <w:lang w:eastAsia="en-US"/>
        </w:rPr>
      </w:pPr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Afección severa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ao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patrimonio cultural e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arqueolóxico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e a </w:t>
      </w:r>
      <w:proofErr w:type="spellStart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>súa</w:t>
      </w:r>
      <w:proofErr w:type="spellEnd"/>
      <w:r w:rsidRPr="006B05EB">
        <w:rPr>
          <w:rFonts w:ascii="Arial" w:eastAsiaTheme="minorHAnsi" w:hAnsi="Arial" w:cs="Arial"/>
          <w:b/>
          <w:bCs/>
          <w:sz w:val="13"/>
          <w:szCs w:val="13"/>
          <w:lang w:eastAsia="en-US"/>
        </w:rPr>
        <w:t xml:space="preserve"> descontextualización:</w:t>
      </w:r>
    </w:p>
    <w:p w14:paraId="298221D0" w14:textId="77777777" w:rsidR="0036582D" w:rsidRPr="006B05EB" w:rsidRDefault="00090482">
      <w:pPr>
        <w:spacing w:line="240" w:lineRule="auto"/>
        <w:jc w:val="both"/>
        <w:rPr>
          <w:rFonts w:ascii="Arial" w:eastAsia="Arial Narrow" w:hAnsi="Arial" w:cs="Arial"/>
          <w:b/>
          <w:sz w:val="13"/>
          <w:szCs w:val="13"/>
        </w:rPr>
      </w:pPr>
      <w:r w:rsidRPr="006B05EB">
        <w:rPr>
          <w:rFonts w:ascii="Arial" w:eastAsia="Arial Narrow" w:hAnsi="Arial" w:cs="Arial"/>
          <w:b/>
          <w:sz w:val="13"/>
          <w:szCs w:val="13"/>
        </w:rPr>
        <w:lastRenderedPageBreak/>
        <w:t>3</w:t>
      </w:r>
      <w:r w:rsidR="00F17FB1" w:rsidRPr="006B05EB">
        <w:rPr>
          <w:rFonts w:ascii="Arial" w:eastAsia="Arial Narrow" w:hAnsi="Arial" w:cs="Arial"/>
          <w:b/>
          <w:sz w:val="13"/>
          <w:szCs w:val="13"/>
        </w:rPr>
        <w:t xml:space="preserve">.- ANÁLISE DOS PLANEAMENTOS URBANÍSTICOS MUNICIPAIS DOS MUNICIPIOS AFECTADOS POLO PARQUE EÓLICO </w:t>
      </w:r>
      <w:r w:rsidR="009771C2" w:rsidRPr="006B05EB">
        <w:rPr>
          <w:rFonts w:ascii="Arial" w:eastAsia="Arial Narrow" w:hAnsi="Arial" w:cs="Arial"/>
          <w:b/>
          <w:sz w:val="13"/>
          <w:szCs w:val="13"/>
        </w:rPr>
        <w:t>MARCOFÁN</w:t>
      </w:r>
      <w:r w:rsidR="0013612C" w:rsidRPr="006B05EB">
        <w:rPr>
          <w:rFonts w:ascii="Arial" w:eastAsia="Arial Narrow" w:hAnsi="Arial" w:cs="Arial"/>
          <w:b/>
          <w:sz w:val="13"/>
          <w:szCs w:val="13"/>
        </w:rPr>
        <w:t>.</w:t>
      </w:r>
    </w:p>
    <w:p w14:paraId="555B6A44" w14:textId="77777777" w:rsidR="006B05EB" w:rsidRPr="006B05EB" w:rsidRDefault="006B05EB" w:rsidP="006B05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SOLICITA: </w:t>
      </w:r>
    </w:p>
    <w:p w14:paraId="2F0895AF" w14:textId="77777777" w:rsidR="006B05EB" w:rsidRPr="006B05EB" w:rsidRDefault="006B05EB" w:rsidP="006B05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1.- 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rexeitamento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das solicitudes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autorización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administrativa previa e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construción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proxecto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interese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autonómico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estudo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impacto ambiental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proxecto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do parque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Marcofán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situado nos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concellos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do Irixo,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Boborás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Beariz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provincia de Ourense (expediente IN408A 2017/020), DOG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Núm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. 18, de 27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xaneiro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2022, e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súa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retirada definitiva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pola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súa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incompatibilidade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valores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ambientais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patrimoniais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paisaxísticos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presentes na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área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afección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proxecto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a falla de licencia social. </w:t>
      </w:r>
    </w:p>
    <w:p w14:paraId="77633263" w14:textId="77777777" w:rsidR="006B05EB" w:rsidRPr="006B05EB" w:rsidRDefault="006B05EB" w:rsidP="006B05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2.-SIRVAN AS PRESENTES ALEGACIONS COMO NOTIFICACION PREVIA DESTE ASUNTO, QUE VAI A SER OPORTUNAMENTE RATIFICADA PARA O CASO DE PROGRESO DA SOLICITUDE RELATIVA AO PARQUE EÓLICO MARCOFÁN (EXPEDIENTE IN408A 2017/020) E PROGRESO DA MESMA, DEBENDO OS PROMOTORES ENFRENTARSE AOS PROCEDEMENTOS XUDICIAIS QUE SE INICIEN (CONTENCIOSO-ADMINISTRATIVOS E PENAIS), ASÍ COMO, ÁS INDEMNIZACIONS QUE PROCEDAN, CON RESPONSABILIDADE SUBSIDIARIA DE QUEN AUTORIZA SEN TER EN CONTA OS DEFECTOS DOS QUE SE LLE PON EN COÑECEMENTO. </w:t>
      </w:r>
    </w:p>
    <w:p w14:paraId="3390FBAC" w14:textId="77777777" w:rsidR="006B05EB" w:rsidRPr="006B05EB" w:rsidRDefault="006B05EB" w:rsidP="006B05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3.-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Téñase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conta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que o Inventario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Humidais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Galicia non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recolle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ningún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humidal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.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Téñase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conta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que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ademais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dunha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impresionante </w:t>
      </w:r>
      <w:proofErr w:type="gram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</w:t>
      </w:r>
      <w:proofErr w:type="gram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exclusiva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biodiversidade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calcúlase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que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unha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hectárea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turbeira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pode almacenar entre 3 e 3,5 veces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máis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carbono que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unha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hectárea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bosque tropical,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reducindo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emisión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gases de efecto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invernadoiro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quecemento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global do planeta, polo que é fundamental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conservación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destes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sumidoiros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acumuladores de carbono. </w:t>
      </w:r>
    </w:p>
    <w:p w14:paraId="5C13CB20" w14:textId="77777777" w:rsidR="006B05EB" w:rsidRPr="006B05EB" w:rsidRDefault="006B05EB" w:rsidP="006B05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4.-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Téñase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conta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que o Plan Sectorial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Galicia é un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regulamento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que non está adaptado a actual normativa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avaliación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impacto ambiental </w:t>
      </w:r>
      <w:proofErr w:type="gram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</w:t>
      </w:r>
      <w:proofErr w:type="gram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que está desfasado, caduco e obsoleto e que carece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avaliación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ambiental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estratéxica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igual que as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súas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modificacións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sendo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esta preceptiva.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Ademais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nunca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chegou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 publicarse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íntegramente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seu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texto </w:t>
      </w:r>
      <w:proofErr w:type="gram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</w:t>
      </w:r>
      <w:proofErr w:type="gram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correspondentes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modificacións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mesmo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no Diario Oficial de Galicia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vulnerándose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o artigo 9.3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Constitución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española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(principio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publicidade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das normas e principio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seguridade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xurídica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). </w:t>
      </w:r>
    </w:p>
    <w:p w14:paraId="6FAB63B2" w14:textId="77777777" w:rsidR="006B05EB" w:rsidRPr="006B05EB" w:rsidRDefault="006B05EB" w:rsidP="006B05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Os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hábitats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naturais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interese comunitario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requiren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zonas de especial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conservación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conforme á Directiva 92/43/CEE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Consello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do 21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maio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1992 relativa á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conservación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dos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hábitats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naturais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da fauna </w:t>
      </w:r>
      <w:proofErr w:type="gram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</w:t>
      </w:r>
      <w:proofErr w:type="gram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flora silvestres. Non poden ser, por tanto,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nin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eliminados,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nin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degradados. A normativa citada indica expresamente que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estes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hábitats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deben ser conservados 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manterse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nun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estado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conservación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favorable. </w:t>
      </w:r>
    </w:p>
    <w:p w14:paraId="2D9EB9BE" w14:textId="6C576430" w:rsidR="006B05EB" w:rsidRPr="006B05EB" w:rsidRDefault="006B05EB" w:rsidP="006B05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5.- Acceso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dixital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abeiro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Lei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27/2006, á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documentación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relativa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seguimento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ambiental do Plan Sectorial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Galicia 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programa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vixiancia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ambiental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tal </w:t>
      </w:r>
      <w:proofErr w:type="gram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</w:t>
      </w:r>
      <w:proofErr w:type="gram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como indica o artigo 51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Lei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21/2013, de 9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outubro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avaliación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ambiental de Galicia. </w:t>
      </w:r>
    </w:p>
    <w:p w14:paraId="178A2018" w14:textId="09AEDD8D" w:rsidR="006B05EB" w:rsidRPr="006B05EB" w:rsidRDefault="006B05EB" w:rsidP="006B05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6.-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adopción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da medida cautelar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urxente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consistente na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suspensión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temporal da eficacia do Plan Sectorial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Galicia e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paralización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temporal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aplicación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en tanto non se someta este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regulamento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á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avaliación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estratéxica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ambiental prevista na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Lei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21/2013, de 9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outubro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avaliación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ambiental.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Véxase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o Informe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Macroeólicos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: </w:t>
      </w:r>
      <w:r w:rsidRPr="006B05EB">
        <w:rPr>
          <w:rFonts w:ascii="Arial" w:eastAsia="Times New Roman" w:hAnsi="Arial" w:cs="Arial"/>
          <w:color w:val="0000FF"/>
          <w:sz w:val="13"/>
          <w:szCs w:val="13"/>
          <w:lang w:eastAsia="es-ES_tradnl"/>
        </w:rPr>
        <w:t xml:space="preserve">https://mapaseolicos.wordpress.com/informe// </w:t>
      </w:r>
    </w:p>
    <w:p w14:paraId="28FE0539" w14:textId="77777777" w:rsidR="006B05EB" w:rsidRPr="006B05EB" w:rsidRDefault="006B05EB" w:rsidP="006B05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7.-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Teñan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conta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que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consoancia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anterior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estase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 vulnerar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unha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manchea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normativa que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xera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indefensión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para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cidadanía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como: </w:t>
      </w:r>
    </w:p>
    <w:p w14:paraId="341B20A4" w14:textId="6EE355E0" w:rsidR="006B05EB" w:rsidRPr="006B05EB" w:rsidRDefault="006B05EB" w:rsidP="006B05E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proofErr w:type="gram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●  Directiva</w:t>
      </w:r>
      <w:proofErr w:type="gram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2003/4/CE do Parlamento Europeo e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Consello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do 28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xaneiro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2003, </w:t>
      </w:r>
    </w:p>
    <w:p w14:paraId="0FC0119E" w14:textId="77777777" w:rsidR="006B05EB" w:rsidRPr="006B05EB" w:rsidRDefault="006B05EB" w:rsidP="006B05E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proofErr w:type="gram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●  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Decisión</w:t>
      </w:r>
      <w:proofErr w:type="spellEnd"/>
      <w:proofErr w:type="gram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2005/370/CE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Consello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do 17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febreiro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2005 sobre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celebración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nome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Comunidade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Europea, do Convenio sobre o acceso á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información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participación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público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na toma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decisións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o acceso á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xustiza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en materia de medio ambiente (DO L 124 de 17.5.2005, pp. 1-3) </w:t>
      </w:r>
    </w:p>
    <w:p w14:paraId="56708C4D" w14:textId="3E99A05D" w:rsidR="006B05EB" w:rsidRPr="006B05EB" w:rsidRDefault="006B05EB" w:rsidP="006B05E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proofErr w:type="gram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●  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Regulamento</w:t>
      </w:r>
      <w:proofErr w:type="spellEnd"/>
      <w:proofErr w:type="gram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(CE) no. 1367/2006 do Parlamento Europeo e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Consello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do 6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setembro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2006, </w:t>
      </w:r>
    </w:p>
    <w:p w14:paraId="36C33EC3" w14:textId="77777777" w:rsidR="006B05EB" w:rsidRPr="006B05EB" w:rsidRDefault="006B05EB" w:rsidP="006B05E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proofErr w:type="gram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●  Decreto</w:t>
      </w:r>
      <w:proofErr w:type="gram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127/2008, do 5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xuño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polo que se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desenvolve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réxime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xurídico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dos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humidais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protexidos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se crea o Inventario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humidais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Galicia. </w:t>
      </w:r>
    </w:p>
    <w:p w14:paraId="7B4BA20B" w14:textId="77777777" w:rsidR="006B05EB" w:rsidRPr="006B05EB" w:rsidRDefault="006B05EB" w:rsidP="006B05EB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proofErr w:type="gram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●  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Lei</w:t>
      </w:r>
      <w:proofErr w:type="spellEnd"/>
      <w:proofErr w:type="gram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7/2012, de 28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xuño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Montes de Galicia. </w:t>
      </w:r>
    </w:p>
    <w:p w14:paraId="1F946CB8" w14:textId="77777777" w:rsidR="006B05EB" w:rsidRPr="006B05EB" w:rsidRDefault="006B05EB" w:rsidP="006B05E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3"/>
          <w:szCs w:val="13"/>
          <w:lang w:eastAsia="es-ES_tradnl"/>
        </w:rPr>
      </w:pPr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8.- Que por parte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Consello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da Cultura Galega,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máximo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órgano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asesor da Xunta de Galicia en materia de cultura, se informe sobre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compatibilidade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proxecto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estación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MARCOFÁN e os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demais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parques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existentes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ou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tramitación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na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área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xeográfica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afección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proxecto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as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liñas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evacuación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existentes e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tramitación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valores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culturais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paisaxísticos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ambientais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área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afección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. </w:t>
      </w:r>
    </w:p>
    <w:p w14:paraId="1C1B97E7" w14:textId="77777777" w:rsidR="006B05EB" w:rsidRPr="006B05EB" w:rsidRDefault="006B05EB" w:rsidP="006B05E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3"/>
          <w:szCs w:val="13"/>
          <w:lang w:eastAsia="es-ES_tradnl"/>
        </w:rPr>
      </w:pPr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9.- Que por parte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Dirección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Xeral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Defensa do Monte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Consellería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Medio Rural da Xunta de Galicia e á luz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exposición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motivos e o artigo 5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Lei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7/2012, de 28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xuño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se informe sobre a prevalencia do uso forestal sobre o uso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incompatibilidade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dentro da superficie afectada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pola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poligonal do parque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MARCOFÁN e os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demais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parques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existentes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ou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tramitación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na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área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xeográfica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afección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proxecto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as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liñas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evacuación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existentes e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tramitación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para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mesma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área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xeográfica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en tanto en canto como ben di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exposición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motivos da referida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lei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o monte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galego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é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unha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fonte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riqueza que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xera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emprego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estable,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descarboniza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economía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cumpre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protocolo de Kioto e realiza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unha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contribución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importante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PIB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galego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(artigo 5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Lei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Montes de Galicia). </w:t>
      </w:r>
    </w:p>
    <w:p w14:paraId="699F3036" w14:textId="77777777" w:rsidR="006B05EB" w:rsidRPr="006B05EB" w:rsidRDefault="006B05EB" w:rsidP="006B05E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3"/>
          <w:szCs w:val="13"/>
          <w:lang w:eastAsia="es-ES_tradnl"/>
        </w:rPr>
      </w:pPr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10.- Que por parte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Dirección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Xeral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Gandaría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Agricultura e Industrias Agroalimentarias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Consellería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Medio Rural da Xunta de Galicia se informe sobre a prevalencia do uso agro -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gandeiro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sobre o uso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incompatibilidade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dentro da superficie afectada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pola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poligonal do parque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MARCOFÁN e os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demais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parques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existentes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ou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tramitación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na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área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xeográfica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afección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proxecto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as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liñas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evacuación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existentes e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tramitación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en tanto en canto o sector agro –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gandeira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dinaminza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o mundo rural,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xera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emprego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estable e realiza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unha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contribución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importante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PIB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galego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. </w:t>
      </w:r>
    </w:p>
    <w:p w14:paraId="3C6AFBEA" w14:textId="61A0BF9A" w:rsidR="006B05EB" w:rsidRPr="006B05EB" w:rsidRDefault="006B05EB" w:rsidP="006B05EB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13"/>
          <w:szCs w:val="13"/>
          <w:lang w:eastAsia="es-ES_tradnl"/>
        </w:rPr>
      </w:pPr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11.-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abeiro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do Convenio Europeo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Paisaxe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en vigor o 1 de marzo de 2004, e que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España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ratificou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o citado Convenio o 26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novembro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2007 (BOE de 5/02/2008), o papel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dereito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non é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recoñecer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protexer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un valor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ou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unha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beleza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paisaxística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particulares; o que 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dereito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debe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recoñecer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primeiro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lugar e, por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conseguinte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protexer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é un valor complexo: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necesidade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toda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cidadanía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establecer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unha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relación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sensible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territorio, de beneficiarse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desta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relación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de participar na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determinación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das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características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formais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dos lugares que habitan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ou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frecuentan.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Ninguén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incluída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 promotora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proxecto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a Xunta de Galicia,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teñen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dereito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 emborronar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dimensión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paisaxística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dun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territorio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sen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ter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primeiro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conta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o interese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conxunto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poboación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local afectada. E 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dereito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á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Paisaxe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non pode ser determinado por un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desenvolvemento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económico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que non ten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conta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aparencia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dos territorios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que afecta,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senón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que debe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reflectir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verdadeiras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aspiracións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dos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homes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mulleres que o habitan. E no presente caso existe un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rexeitamento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social expreso </w:t>
      </w:r>
      <w:proofErr w:type="gram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</w:t>
      </w:r>
      <w:proofErr w:type="gram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masivo tanto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parque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MARCOFÁN e os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demais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parques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existentes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ou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tramitación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na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área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xeográfica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afección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deste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proxecto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as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liñas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de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evacuación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existentes e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tramitación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na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mesma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área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xeográfica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. Non se pode transformar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unilaterlamente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por mor do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interés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dunha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empresa as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paisaxes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agrarias,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culturais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forestais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o medio de vida das familias en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paisaxes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industriais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e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polígonos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</w:t>
      </w: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eólicos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que só benefician a empresas como é o presente caso. </w:t>
      </w:r>
    </w:p>
    <w:p w14:paraId="6F4F17F9" w14:textId="77777777" w:rsidR="006B05EB" w:rsidRPr="006B05EB" w:rsidRDefault="006B05EB" w:rsidP="006B05E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3"/>
          <w:szCs w:val="13"/>
          <w:lang w:eastAsia="es-ES_tradnl"/>
        </w:rPr>
      </w:pPr>
      <w:proofErr w:type="spellStart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>Véxase</w:t>
      </w:r>
      <w:proofErr w:type="spellEnd"/>
      <w:r w:rsidRPr="006B05EB">
        <w:rPr>
          <w:rFonts w:ascii="Arial" w:eastAsia="Times New Roman" w:hAnsi="Arial" w:cs="Arial"/>
          <w:sz w:val="13"/>
          <w:szCs w:val="13"/>
          <w:lang w:eastAsia="es-ES_tradnl"/>
        </w:rPr>
        <w:t xml:space="preserve"> o documento INFORME DA COMISIÓN TÉCNICA TEMPORAL SOBRE ENERXÍA EÓLICA E PAISAXES CULTURAIS EN GALICIA: </w:t>
      </w:r>
      <w:r w:rsidRPr="006B05EB">
        <w:rPr>
          <w:rFonts w:ascii="Arial" w:eastAsia="Times New Roman" w:hAnsi="Arial" w:cs="Arial"/>
          <w:color w:val="0000FF"/>
          <w:sz w:val="13"/>
          <w:szCs w:val="13"/>
          <w:lang w:eastAsia="es-ES_tradnl"/>
        </w:rPr>
        <w:t xml:space="preserve">http://consellodacultura.gal/publicacion.php?id=443777 </w:t>
      </w:r>
    </w:p>
    <w:p w14:paraId="71296037" w14:textId="77777777" w:rsidR="00D81A88" w:rsidRPr="006A268E" w:rsidRDefault="00D81A88" w:rsidP="001E44E3">
      <w:pPr>
        <w:spacing w:line="240" w:lineRule="auto"/>
        <w:jc w:val="both"/>
        <w:rPr>
          <w:rFonts w:ascii="Arial Narrow" w:eastAsiaTheme="minorHAnsi" w:hAnsi="Arial Narrow" w:cs="Arial"/>
          <w:lang w:eastAsia="en-US"/>
        </w:rPr>
      </w:pPr>
    </w:p>
    <w:p w14:paraId="5B5D06E1" w14:textId="2B1A6E07" w:rsidR="0036582D" w:rsidRPr="006A268E" w:rsidRDefault="00774349">
      <w:pPr>
        <w:spacing w:line="240" w:lineRule="auto"/>
        <w:jc w:val="center"/>
        <w:rPr>
          <w:rFonts w:ascii="Arial Narrow" w:eastAsia="Arial Narrow" w:hAnsi="Arial Narrow" w:cs="Arial"/>
        </w:rPr>
      </w:pPr>
      <w:r>
        <w:rPr>
          <w:rFonts w:ascii="Arial Narrow" w:eastAsia="Arial Narrow" w:hAnsi="Arial Narrow" w:cs="Arial"/>
        </w:rPr>
        <w:t>O Irixo</w:t>
      </w:r>
      <w:r w:rsidR="00896844" w:rsidRPr="006A268E">
        <w:rPr>
          <w:rFonts w:ascii="Arial Narrow" w:eastAsia="Arial Narrow" w:hAnsi="Arial Narrow" w:cs="Arial"/>
        </w:rPr>
        <w:t xml:space="preserve">, 8 de </w:t>
      </w:r>
      <w:proofErr w:type="spellStart"/>
      <w:r w:rsidR="00896844" w:rsidRPr="006A268E">
        <w:rPr>
          <w:rFonts w:ascii="Arial Narrow" w:eastAsia="Arial Narrow" w:hAnsi="Arial Narrow" w:cs="Arial"/>
        </w:rPr>
        <w:t>febreiro</w:t>
      </w:r>
      <w:proofErr w:type="spellEnd"/>
      <w:r w:rsidR="00896844" w:rsidRPr="006A268E">
        <w:rPr>
          <w:rFonts w:ascii="Arial Narrow" w:eastAsia="Arial Narrow" w:hAnsi="Arial Narrow" w:cs="Arial"/>
        </w:rPr>
        <w:t xml:space="preserve"> de 2022</w:t>
      </w:r>
    </w:p>
    <w:p w14:paraId="49C04EC8" w14:textId="77777777" w:rsidR="00911EC3" w:rsidRPr="006A268E" w:rsidRDefault="00911EC3" w:rsidP="006B05EB">
      <w:pPr>
        <w:spacing w:line="240" w:lineRule="auto"/>
        <w:rPr>
          <w:rFonts w:ascii="Arial Narrow" w:eastAsia="Arial Narrow" w:hAnsi="Arial Narrow" w:cs="Arial"/>
        </w:rPr>
      </w:pPr>
    </w:p>
    <w:p w14:paraId="6679384F" w14:textId="73493F91" w:rsidR="005B251F" w:rsidRPr="006B05EB" w:rsidRDefault="00911EC3" w:rsidP="006B05EB">
      <w:pPr>
        <w:spacing w:line="240" w:lineRule="auto"/>
        <w:jc w:val="center"/>
        <w:rPr>
          <w:rFonts w:ascii="Arial Narrow" w:eastAsia="Arial Narrow" w:hAnsi="Arial Narrow" w:cs="Arial"/>
        </w:rPr>
      </w:pPr>
      <w:proofErr w:type="spellStart"/>
      <w:proofErr w:type="gramStart"/>
      <w:r w:rsidRPr="006A268E">
        <w:rPr>
          <w:rFonts w:ascii="Arial Narrow" w:eastAsia="Arial Narrow" w:hAnsi="Arial Narrow" w:cs="Arial"/>
        </w:rPr>
        <w:t>Asdo</w:t>
      </w:r>
      <w:proofErr w:type="spellEnd"/>
      <w:r w:rsidRPr="006A268E">
        <w:rPr>
          <w:rFonts w:ascii="Arial Narrow" w:eastAsia="Arial Narrow" w:hAnsi="Arial Narrow" w:cs="Arial"/>
        </w:rPr>
        <w:t>.-</w:t>
      </w:r>
      <w:proofErr w:type="gramEnd"/>
      <w:r w:rsidRPr="006A268E">
        <w:rPr>
          <w:rFonts w:ascii="Arial Narrow" w:eastAsia="Arial Narrow" w:hAnsi="Arial Narrow" w:cs="Arial"/>
        </w:rPr>
        <w:t xml:space="preserve"> ___________________________</w:t>
      </w:r>
    </w:p>
    <w:sectPr w:rsidR="005B251F" w:rsidRPr="006B05EB" w:rsidSect="006B05EB">
      <w:footerReference w:type="default" r:id="rId8"/>
      <w:type w:val="continuous"/>
      <w:pgSz w:w="11906" w:h="16838"/>
      <w:pgMar w:top="468" w:right="554" w:bottom="452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74465" w14:textId="77777777" w:rsidR="00D85DFE" w:rsidRDefault="00D85DFE">
      <w:pPr>
        <w:spacing w:after="0" w:line="240" w:lineRule="auto"/>
      </w:pPr>
      <w:r>
        <w:separator/>
      </w:r>
    </w:p>
  </w:endnote>
  <w:endnote w:type="continuationSeparator" w:id="0">
    <w:p w14:paraId="567C2767" w14:textId="77777777" w:rsidR="00D85DFE" w:rsidRDefault="00D8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F4DB" w14:textId="77777777" w:rsidR="0047142A" w:rsidRDefault="0047142A">
    <w:pPr>
      <w:pStyle w:val="Piedepgina"/>
      <w:jc w:val="center"/>
    </w:pPr>
  </w:p>
  <w:p w14:paraId="60166580" w14:textId="77777777" w:rsidR="0047142A" w:rsidRDefault="004714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C0A2C" w14:textId="77777777" w:rsidR="00D85DFE" w:rsidRDefault="00D85DFE">
      <w:pPr>
        <w:spacing w:after="0" w:line="240" w:lineRule="auto"/>
      </w:pPr>
      <w:r>
        <w:separator/>
      </w:r>
    </w:p>
  </w:footnote>
  <w:footnote w:type="continuationSeparator" w:id="0">
    <w:p w14:paraId="09494BD6" w14:textId="77777777" w:rsidR="00D85DFE" w:rsidRDefault="00D8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6EC"/>
    <w:multiLevelType w:val="hybridMultilevel"/>
    <w:tmpl w:val="019ABC04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47E69"/>
    <w:multiLevelType w:val="multilevel"/>
    <w:tmpl w:val="C65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F1D87"/>
    <w:multiLevelType w:val="hybridMultilevel"/>
    <w:tmpl w:val="A91C1DC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DA9"/>
    <w:multiLevelType w:val="multilevel"/>
    <w:tmpl w:val="D4F8A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230E8"/>
    <w:multiLevelType w:val="hybridMultilevel"/>
    <w:tmpl w:val="DC44C012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24AC"/>
    <w:multiLevelType w:val="multilevel"/>
    <w:tmpl w:val="3886F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46A20"/>
    <w:multiLevelType w:val="hybridMultilevel"/>
    <w:tmpl w:val="CB527D88"/>
    <w:lvl w:ilvl="0" w:tplc="6A28FB2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94A91"/>
    <w:multiLevelType w:val="hybridMultilevel"/>
    <w:tmpl w:val="CCB03B92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24A80"/>
    <w:multiLevelType w:val="hybridMultilevel"/>
    <w:tmpl w:val="6254A17E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64692"/>
    <w:multiLevelType w:val="hybridMultilevel"/>
    <w:tmpl w:val="558C5860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11EF5"/>
    <w:multiLevelType w:val="multilevel"/>
    <w:tmpl w:val="A4A6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247C7"/>
    <w:multiLevelType w:val="multilevel"/>
    <w:tmpl w:val="A7AE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136762"/>
    <w:multiLevelType w:val="hybridMultilevel"/>
    <w:tmpl w:val="C20850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25EE9"/>
    <w:multiLevelType w:val="multilevel"/>
    <w:tmpl w:val="997E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0707CF"/>
    <w:multiLevelType w:val="multilevel"/>
    <w:tmpl w:val="5D62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027BBB"/>
    <w:multiLevelType w:val="multilevel"/>
    <w:tmpl w:val="2026C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3F4D50"/>
    <w:multiLevelType w:val="hybridMultilevel"/>
    <w:tmpl w:val="8DE28D4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1174B"/>
    <w:multiLevelType w:val="hybridMultilevel"/>
    <w:tmpl w:val="B3E84646"/>
    <w:lvl w:ilvl="0" w:tplc="96C0D61E">
      <w:start w:val="82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A37CF"/>
    <w:multiLevelType w:val="multilevel"/>
    <w:tmpl w:val="76DC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3A7075"/>
    <w:multiLevelType w:val="multilevel"/>
    <w:tmpl w:val="2494B7FA"/>
    <w:lvl w:ilvl="0">
      <w:start w:val="1"/>
      <w:numFmt w:val="bullet"/>
      <w:lvlText w:val="☞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42F33453"/>
    <w:multiLevelType w:val="multilevel"/>
    <w:tmpl w:val="20EA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540594C"/>
    <w:multiLevelType w:val="multilevel"/>
    <w:tmpl w:val="E312C4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47281B1B"/>
    <w:multiLevelType w:val="multilevel"/>
    <w:tmpl w:val="3D80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216700"/>
    <w:multiLevelType w:val="multilevel"/>
    <w:tmpl w:val="6A605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918FC"/>
    <w:multiLevelType w:val="multilevel"/>
    <w:tmpl w:val="65F62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0158D3"/>
    <w:multiLevelType w:val="hybridMultilevel"/>
    <w:tmpl w:val="0BDAE9E4"/>
    <w:lvl w:ilvl="0" w:tplc="614C2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64069"/>
    <w:multiLevelType w:val="hybridMultilevel"/>
    <w:tmpl w:val="8FDC77CA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1134E"/>
    <w:multiLevelType w:val="multilevel"/>
    <w:tmpl w:val="B310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FE6004"/>
    <w:multiLevelType w:val="multilevel"/>
    <w:tmpl w:val="97B6A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903921"/>
    <w:multiLevelType w:val="hybridMultilevel"/>
    <w:tmpl w:val="568E07A6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F3235D"/>
    <w:multiLevelType w:val="hybridMultilevel"/>
    <w:tmpl w:val="4086C07A"/>
    <w:lvl w:ilvl="0" w:tplc="42B6D3C2">
      <w:start w:val="82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35E6A"/>
    <w:multiLevelType w:val="hybridMultilevel"/>
    <w:tmpl w:val="ACE445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441DA"/>
    <w:multiLevelType w:val="multilevel"/>
    <w:tmpl w:val="01127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2604C4D"/>
    <w:multiLevelType w:val="hybridMultilevel"/>
    <w:tmpl w:val="FAE246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C68CE"/>
    <w:multiLevelType w:val="hybridMultilevel"/>
    <w:tmpl w:val="F1E2F5AE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A657C"/>
    <w:multiLevelType w:val="multilevel"/>
    <w:tmpl w:val="324C0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E14584"/>
    <w:multiLevelType w:val="multilevel"/>
    <w:tmpl w:val="2F24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1C0898"/>
    <w:multiLevelType w:val="multilevel"/>
    <w:tmpl w:val="E05E1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632567"/>
    <w:multiLevelType w:val="multilevel"/>
    <w:tmpl w:val="27F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1DD7282"/>
    <w:multiLevelType w:val="multilevel"/>
    <w:tmpl w:val="5AAAB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FD56E3"/>
    <w:multiLevelType w:val="hybridMultilevel"/>
    <w:tmpl w:val="D466C66A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D3996"/>
    <w:multiLevelType w:val="multilevel"/>
    <w:tmpl w:val="DFD6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E7430E"/>
    <w:multiLevelType w:val="multilevel"/>
    <w:tmpl w:val="4396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171163"/>
    <w:multiLevelType w:val="hybridMultilevel"/>
    <w:tmpl w:val="9878C350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E45BEA"/>
    <w:multiLevelType w:val="multilevel"/>
    <w:tmpl w:val="C15E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936292"/>
    <w:multiLevelType w:val="hybridMultilevel"/>
    <w:tmpl w:val="6D20EA9E"/>
    <w:lvl w:ilvl="0" w:tplc="C52EF722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F5A0F"/>
    <w:multiLevelType w:val="multilevel"/>
    <w:tmpl w:val="7F2E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DD34E21"/>
    <w:multiLevelType w:val="hybridMultilevel"/>
    <w:tmpl w:val="3ECA58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1"/>
  </w:num>
  <w:num w:numId="5">
    <w:abstractNumId w:val="18"/>
  </w:num>
  <w:num w:numId="6">
    <w:abstractNumId w:val="20"/>
  </w:num>
  <w:num w:numId="7">
    <w:abstractNumId w:val="22"/>
  </w:num>
  <w:num w:numId="8">
    <w:abstractNumId w:val="28"/>
  </w:num>
  <w:num w:numId="9">
    <w:abstractNumId w:val="37"/>
  </w:num>
  <w:num w:numId="10">
    <w:abstractNumId w:val="40"/>
  </w:num>
  <w:num w:numId="11">
    <w:abstractNumId w:val="11"/>
  </w:num>
  <w:num w:numId="12">
    <w:abstractNumId w:val="39"/>
  </w:num>
  <w:num w:numId="13">
    <w:abstractNumId w:val="13"/>
  </w:num>
  <w:num w:numId="14">
    <w:abstractNumId w:val="3"/>
  </w:num>
  <w:num w:numId="15">
    <w:abstractNumId w:val="8"/>
  </w:num>
  <w:num w:numId="16">
    <w:abstractNumId w:val="27"/>
  </w:num>
  <w:num w:numId="17">
    <w:abstractNumId w:val="0"/>
  </w:num>
  <w:num w:numId="18">
    <w:abstractNumId w:val="2"/>
  </w:num>
  <w:num w:numId="19">
    <w:abstractNumId w:val="29"/>
  </w:num>
  <w:num w:numId="20">
    <w:abstractNumId w:val="17"/>
  </w:num>
  <w:num w:numId="21">
    <w:abstractNumId w:val="30"/>
  </w:num>
  <w:num w:numId="22">
    <w:abstractNumId w:val="34"/>
  </w:num>
  <w:num w:numId="23">
    <w:abstractNumId w:val="9"/>
  </w:num>
  <w:num w:numId="24">
    <w:abstractNumId w:val="15"/>
  </w:num>
  <w:num w:numId="25">
    <w:abstractNumId w:val="7"/>
  </w:num>
  <w:num w:numId="26">
    <w:abstractNumId w:val="45"/>
  </w:num>
  <w:num w:numId="27">
    <w:abstractNumId w:val="47"/>
  </w:num>
  <w:num w:numId="28">
    <w:abstractNumId w:val="43"/>
  </w:num>
  <w:num w:numId="29">
    <w:abstractNumId w:val="4"/>
  </w:num>
  <w:num w:numId="30">
    <w:abstractNumId w:val="26"/>
  </w:num>
  <w:num w:numId="31">
    <w:abstractNumId w:val="31"/>
  </w:num>
  <w:num w:numId="32">
    <w:abstractNumId w:val="33"/>
  </w:num>
  <w:num w:numId="33">
    <w:abstractNumId w:val="12"/>
  </w:num>
  <w:num w:numId="34">
    <w:abstractNumId w:val="32"/>
  </w:num>
  <w:num w:numId="35">
    <w:abstractNumId w:val="35"/>
  </w:num>
  <w:num w:numId="36">
    <w:abstractNumId w:val="6"/>
  </w:num>
  <w:num w:numId="37">
    <w:abstractNumId w:val="38"/>
  </w:num>
  <w:num w:numId="38">
    <w:abstractNumId w:val="42"/>
  </w:num>
  <w:num w:numId="39">
    <w:abstractNumId w:val="44"/>
  </w:num>
  <w:num w:numId="40">
    <w:abstractNumId w:val="36"/>
  </w:num>
  <w:num w:numId="41">
    <w:abstractNumId w:val="23"/>
  </w:num>
  <w:num w:numId="42">
    <w:abstractNumId w:val="41"/>
  </w:num>
  <w:num w:numId="43">
    <w:abstractNumId w:val="16"/>
  </w:num>
  <w:num w:numId="44">
    <w:abstractNumId w:val="5"/>
  </w:num>
  <w:num w:numId="45">
    <w:abstractNumId w:val="24"/>
  </w:num>
  <w:num w:numId="46">
    <w:abstractNumId w:val="46"/>
  </w:num>
  <w:num w:numId="47">
    <w:abstractNumId w:val="14"/>
  </w:num>
  <w:num w:numId="4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2D"/>
    <w:rsid w:val="00012DC1"/>
    <w:rsid w:val="00014E6C"/>
    <w:rsid w:val="00015D71"/>
    <w:rsid w:val="00016624"/>
    <w:rsid w:val="000312B1"/>
    <w:rsid w:val="00037AFF"/>
    <w:rsid w:val="0006503E"/>
    <w:rsid w:val="000824D7"/>
    <w:rsid w:val="0008389F"/>
    <w:rsid w:val="00090482"/>
    <w:rsid w:val="0009715E"/>
    <w:rsid w:val="00097AB7"/>
    <w:rsid w:val="000A39B5"/>
    <w:rsid w:val="000B3E2C"/>
    <w:rsid w:val="000C7A45"/>
    <w:rsid w:val="000D0D32"/>
    <w:rsid w:val="000D275A"/>
    <w:rsid w:val="000D640A"/>
    <w:rsid w:val="000D7086"/>
    <w:rsid w:val="000E08CC"/>
    <w:rsid w:val="000F1F94"/>
    <w:rsid w:val="00101298"/>
    <w:rsid w:val="0010776F"/>
    <w:rsid w:val="00111878"/>
    <w:rsid w:val="00115683"/>
    <w:rsid w:val="001308C3"/>
    <w:rsid w:val="00134464"/>
    <w:rsid w:val="0013612C"/>
    <w:rsid w:val="00151984"/>
    <w:rsid w:val="00161DBC"/>
    <w:rsid w:val="001729BF"/>
    <w:rsid w:val="0017759B"/>
    <w:rsid w:val="0018025C"/>
    <w:rsid w:val="00181FF4"/>
    <w:rsid w:val="001828C9"/>
    <w:rsid w:val="00187E7E"/>
    <w:rsid w:val="0019204B"/>
    <w:rsid w:val="00194E5F"/>
    <w:rsid w:val="00197FF7"/>
    <w:rsid w:val="001A3725"/>
    <w:rsid w:val="001A3AB2"/>
    <w:rsid w:val="001A6F7B"/>
    <w:rsid w:val="001A72BC"/>
    <w:rsid w:val="001B66F0"/>
    <w:rsid w:val="001C08C1"/>
    <w:rsid w:val="001C75F9"/>
    <w:rsid w:val="001D1719"/>
    <w:rsid w:val="001D1D26"/>
    <w:rsid w:val="001D7B7E"/>
    <w:rsid w:val="001E08C1"/>
    <w:rsid w:val="001E18DC"/>
    <w:rsid w:val="001E44E3"/>
    <w:rsid w:val="001E7CD2"/>
    <w:rsid w:val="001F5277"/>
    <w:rsid w:val="00213882"/>
    <w:rsid w:val="00214481"/>
    <w:rsid w:val="00232413"/>
    <w:rsid w:val="002371F0"/>
    <w:rsid w:val="00242C17"/>
    <w:rsid w:val="00256FB2"/>
    <w:rsid w:val="0027019B"/>
    <w:rsid w:val="00281B3A"/>
    <w:rsid w:val="00290238"/>
    <w:rsid w:val="002944E7"/>
    <w:rsid w:val="00296779"/>
    <w:rsid w:val="002A3B58"/>
    <w:rsid w:val="002B181B"/>
    <w:rsid w:val="002C3A58"/>
    <w:rsid w:val="002C63C2"/>
    <w:rsid w:val="002E144E"/>
    <w:rsid w:val="00300FD4"/>
    <w:rsid w:val="00301369"/>
    <w:rsid w:val="00304533"/>
    <w:rsid w:val="00306F07"/>
    <w:rsid w:val="00307A59"/>
    <w:rsid w:val="003147EA"/>
    <w:rsid w:val="00316DAA"/>
    <w:rsid w:val="00332E4A"/>
    <w:rsid w:val="00334F7B"/>
    <w:rsid w:val="003504D6"/>
    <w:rsid w:val="003508FD"/>
    <w:rsid w:val="00355E88"/>
    <w:rsid w:val="00361738"/>
    <w:rsid w:val="0036582D"/>
    <w:rsid w:val="00375F14"/>
    <w:rsid w:val="0038197B"/>
    <w:rsid w:val="00383F79"/>
    <w:rsid w:val="003B2E9B"/>
    <w:rsid w:val="003B570B"/>
    <w:rsid w:val="003B7976"/>
    <w:rsid w:val="003C1749"/>
    <w:rsid w:val="003C228E"/>
    <w:rsid w:val="003C5DE3"/>
    <w:rsid w:val="003C6F45"/>
    <w:rsid w:val="003D14DF"/>
    <w:rsid w:val="003D3E01"/>
    <w:rsid w:val="003E3C1B"/>
    <w:rsid w:val="003E6E22"/>
    <w:rsid w:val="00402BEF"/>
    <w:rsid w:val="004045F3"/>
    <w:rsid w:val="00404968"/>
    <w:rsid w:val="004055AC"/>
    <w:rsid w:val="004064CD"/>
    <w:rsid w:val="00407383"/>
    <w:rsid w:val="004126D1"/>
    <w:rsid w:val="00416551"/>
    <w:rsid w:val="00424FF5"/>
    <w:rsid w:val="004278FD"/>
    <w:rsid w:val="00430580"/>
    <w:rsid w:val="00430CDD"/>
    <w:rsid w:val="00436EB0"/>
    <w:rsid w:val="00440266"/>
    <w:rsid w:val="00444173"/>
    <w:rsid w:val="00447473"/>
    <w:rsid w:val="004542A5"/>
    <w:rsid w:val="00461098"/>
    <w:rsid w:val="004678E0"/>
    <w:rsid w:val="0047142A"/>
    <w:rsid w:val="00472C20"/>
    <w:rsid w:val="00477D43"/>
    <w:rsid w:val="004847C1"/>
    <w:rsid w:val="00487481"/>
    <w:rsid w:val="00490711"/>
    <w:rsid w:val="00494E0C"/>
    <w:rsid w:val="004961E6"/>
    <w:rsid w:val="004977AA"/>
    <w:rsid w:val="004A0CC2"/>
    <w:rsid w:val="004A1C0D"/>
    <w:rsid w:val="004C001E"/>
    <w:rsid w:val="004C504D"/>
    <w:rsid w:val="004C558A"/>
    <w:rsid w:val="004C6F57"/>
    <w:rsid w:val="004E052D"/>
    <w:rsid w:val="004E2768"/>
    <w:rsid w:val="004E361F"/>
    <w:rsid w:val="00506918"/>
    <w:rsid w:val="00516275"/>
    <w:rsid w:val="00516C72"/>
    <w:rsid w:val="0052243E"/>
    <w:rsid w:val="00522EFA"/>
    <w:rsid w:val="005269ED"/>
    <w:rsid w:val="00530069"/>
    <w:rsid w:val="00546D87"/>
    <w:rsid w:val="00546E9C"/>
    <w:rsid w:val="00555749"/>
    <w:rsid w:val="00564A21"/>
    <w:rsid w:val="00572F6E"/>
    <w:rsid w:val="00573655"/>
    <w:rsid w:val="00574A98"/>
    <w:rsid w:val="00585534"/>
    <w:rsid w:val="0059554D"/>
    <w:rsid w:val="005B251F"/>
    <w:rsid w:val="005C016B"/>
    <w:rsid w:val="005C1B6D"/>
    <w:rsid w:val="005C45D5"/>
    <w:rsid w:val="005C5E9B"/>
    <w:rsid w:val="005D3761"/>
    <w:rsid w:val="005E0E15"/>
    <w:rsid w:val="005E0E90"/>
    <w:rsid w:val="005E465C"/>
    <w:rsid w:val="005E4FC0"/>
    <w:rsid w:val="005F47DB"/>
    <w:rsid w:val="00600215"/>
    <w:rsid w:val="00602BE9"/>
    <w:rsid w:val="00612138"/>
    <w:rsid w:val="006270CD"/>
    <w:rsid w:val="00630271"/>
    <w:rsid w:val="00631769"/>
    <w:rsid w:val="0063260F"/>
    <w:rsid w:val="006333AE"/>
    <w:rsid w:val="006372C8"/>
    <w:rsid w:val="006420E6"/>
    <w:rsid w:val="0064410E"/>
    <w:rsid w:val="00650FCA"/>
    <w:rsid w:val="00652518"/>
    <w:rsid w:val="00663F60"/>
    <w:rsid w:val="00665F5B"/>
    <w:rsid w:val="00671F76"/>
    <w:rsid w:val="006744F0"/>
    <w:rsid w:val="00675B87"/>
    <w:rsid w:val="0069610E"/>
    <w:rsid w:val="0069709A"/>
    <w:rsid w:val="006A268E"/>
    <w:rsid w:val="006A293E"/>
    <w:rsid w:val="006A77B5"/>
    <w:rsid w:val="006B05EB"/>
    <w:rsid w:val="006B2E4D"/>
    <w:rsid w:val="006C1DDD"/>
    <w:rsid w:val="006C3374"/>
    <w:rsid w:val="006C5004"/>
    <w:rsid w:val="006C5AD2"/>
    <w:rsid w:val="006D2918"/>
    <w:rsid w:val="006D4562"/>
    <w:rsid w:val="00727D95"/>
    <w:rsid w:val="0073319A"/>
    <w:rsid w:val="00734F7B"/>
    <w:rsid w:val="00737CAB"/>
    <w:rsid w:val="00743E5B"/>
    <w:rsid w:val="00746584"/>
    <w:rsid w:val="00746C9A"/>
    <w:rsid w:val="00747E6E"/>
    <w:rsid w:val="00764A53"/>
    <w:rsid w:val="007712E7"/>
    <w:rsid w:val="00774349"/>
    <w:rsid w:val="00780530"/>
    <w:rsid w:val="007817CF"/>
    <w:rsid w:val="007861E6"/>
    <w:rsid w:val="00786D6B"/>
    <w:rsid w:val="00790C74"/>
    <w:rsid w:val="00792276"/>
    <w:rsid w:val="00794A16"/>
    <w:rsid w:val="00796B85"/>
    <w:rsid w:val="007976DF"/>
    <w:rsid w:val="007A45A8"/>
    <w:rsid w:val="007C0BB1"/>
    <w:rsid w:val="007C31FD"/>
    <w:rsid w:val="007D75B0"/>
    <w:rsid w:val="007E0E40"/>
    <w:rsid w:val="007E297B"/>
    <w:rsid w:val="007F02C7"/>
    <w:rsid w:val="007F2DB0"/>
    <w:rsid w:val="0080046C"/>
    <w:rsid w:val="00801406"/>
    <w:rsid w:val="00810BFA"/>
    <w:rsid w:val="0081442C"/>
    <w:rsid w:val="00814D42"/>
    <w:rsid w:val="00820612"/>
    <w:rsid w:val="008310B9"/>
    <w:rsid w:val="00850310"/>
    <w:rsid w:val="00852BD2"/>
    <w:rsid w:val="00856EA3"/>
    <w:rsid w:val="00861FC7"/>
    <w:rsid w:val="008645F3"/>
    <w:rsid w:val="00874BF6"/>
    <w:rsid w:val="00880EE1"/>
    <w:rsid w:val="008811D8"/>
    <w:rsid w:val="00884DEC"/>
    <w:rsid w:val="008878F0"/>
    <w:rsid w:val="00896844"/>
    <w:rsid w:val="008A691A"/>
    <w:rsid w:val="008B0FC8"/>
    <w:rsid w:val="008B1904"/>
    <w:rsid w:val="008B2AB8"/>
    <w:rsid w:val="008C0D58"/>
    <w:rsid w:val="008C1D63"/>
    <w:rsid w:val="008C3A46"/>
    <w:rsid w:val="008C7EBB"/>
    <w:rsid w:val="008D4F2F"/>
    <w:rsid w:val="008D567E"/>
    <w:rsid w:val="008E05EC"/>
    <w:rsid w:val="008F3C88"/>
    <w:rsid w:val="008F5A57"/>
    <w:rsid w:val="008F5A5B"/>
    <w:rsid w:val="00901C2A"/>
    <w:rsid w:val="00910F43"/>
    <w:rsid w:val="00911EC3"/>
    <w:rsid w:val="009260E8"/>
    <w:rsid w:val="00933A12"/>
    <w:rsid w:val="00933BE0"/>
    <w:rsid w:val="009365B6"/>
    <w:rsid w:val="00945CF4"/>
    <w:rsid w:val="00951BE5"/>
    <w:rsid w:val="00952E81"/>
    <w:rsid w:val="00953508"/>
    <w:rsid w:val="00954948"/>
    <w:rsid w:val="009577A5"/>
    <w:rsid w:val="00962EB9"/>
    <w:rsid w:val="00963085"/>
    <w:rsid w:val="009638F0"/>
    <w:rsid w:val="009758A9"/>
    <w:rsid w:val="009771C2"/>
    <w:rsid w:val="00980408"/>
    <w:rsid w:val="009A0023"/>
    <w:rsid w:val="009A0F16"/>
    <w:rsid w:val="009A6003"/>
    <w:rsid w:val="009A60F2"/>
    <w:rsid w:val="009B3681"/>
    <w:rsid w:val="009C7613"/>
    <w:rsid w:val="009E3630"/>
    <w:rsid w:val="009E3CB3"/>
    <w:rsid w:val="009F3F3C"/>
    <w:rsid w:val="00A2030A"/>
    <w:rsid w:val="00A20311"/>
    <w:rsid w:val="00A21D70"/>
    <w:rsid w:val="00A23D22"/>
    <w:rsid w:val="00A2510D"/>
    <w:rsid w:val="00A306F1"/>
    <w:rsid w:val="00A35025"/>
    <w:rsid w:val="00A408A5"/>
    <w:rsid w:val="00A42525"/>
    <w:rsid w:val="00A4272B"/>
    <w:rsid w:val="00A43191"/>
    <w:rsid w:val="00A8039B"/>
    <w:rsid w:val="00A836BB"/>
    <w:rsid w:val="00A94F5B"/>
    <w:rsid w:val="00A9520C"/>
    <w:rsid w:val="00A967AE"/>
    <w:rsid w:val="00A96C41"/>
    <w:rsid w:val="00AB4B4C"/>
    <w:rsid w:val="00AC0906"/>
    <w:rsid w:val="00AC1B65"/>
    <w:rsid w:val="00AC1D3B"/>
    <w:rsid w:val="00AC38E2"/>
    <w:rsid w:val="00AC6710"/>
    <w:rsid w:val="00AD1292"/>
    <w:rsid w:val="00AD5EB4"/>
    <w:rsid w:val="00AE03D6"/>
    <w:rsid w:val="00AE382B"/>
    <w:rsid w:val="00AF099A"/>
    <w:rsid w:val="00AF2FA0"/>
    <w:rsid w:val="00B0125D"/>
    <w:rsid w:val="00B0468A"/>
    <w:rsid w:val="00B270A6"/>
    <w:rsid w:val="00B310D5"/>
    <w:rsid w:val="00B31EF6"/>
    <w:rsid w:val="00B32021"/>
    <w:rsid w:val="00B371CC"/>
    <w:rsid w:val="00B415C4"/>
    <w:rsid w:val="00B50095"/>
    <w:rsid w:val="00B62258"/>
    <w:rsid w:val="00B8127A"/>
    <w:rsid w:val="00B855D5"/>
    <w:rsid w:val="00B96285"/>
    <w:rsid w:val="00BA126C"/>
    <w:rsid w:val="00BA15CB"/>
    <w:rsid w:val="00BA3327"/>
    <w:rsid w:val="00BA3EDF"/>
    <w:rsid w:val="00BA49CA"/>
    <w:rsid w:val="00BC0366"/>
    <w:rsid w:val="00BC13E0"/>
    <w:rsid w:val="00BC3256"/>
    <w:rsid w:val="00BC383B"/>
    <w:rsid w:val="00BC3DCD"/>
    <w:rsid w:val="00BC794A"/>
    <w:rsid w:val="00BC7BA1"/>
    <w:rsid w:val="00BD4D6F"/>
    <w:rsid w:val="00BD5323"/>
    <w:rsid w:val="00BF103D"/>
    <w:rsid w:val="00BF3E81"/>
    <w:rsid w:val="00C00F31"/>
    <w:rsid w:val="00C0680A"/>
    <w:rsid w:val="00C06FA7"/>
    <w:rsid w:val="00C0769F"/>
    <w:rsid w:val="00C25A16"/>
    <w:rsid w:val="00C30A26"/>
    <w:rsid w:val="00C30F9A"/>
    <w:rsid w:val="00C31284"/>
    <w:rsid w:val="00C328CF"/>
    <w:rsid w:val="00C34D7C"/>
    <w:rsid w:val="00C40AB6"/>
    <w:rsid w:val="00C40D6C"/>
    <w:rsid w:val="00C4566F"/>
    <w:rsid w:val="00C51B0A"/>
    <w:rsid w:val="00C541CD"/>
    <w:rsid w:val="00C63C00"/>
    <w:rsid w:val="00C80DC7"/>
    <w:rsid w:val="00C862CC"/>
    <w:rsid w:val="00C87BE8"/>
    <w:rsid w:val="00C930CE"/>
    <w:rsid w:val="00CA6227"/>
    <w:rsid w:val="00CB30CB"/>
    <w:rsid w:val="00CB4211"/>
    <w:rsid w:val="00CD2B86"/>
    <w:rsid w:val="00CE238E"/>
    <w:rsid w:val="00CE547B"/>
    <w:rsid w:val="00CF4148"/>
    <w:rsid w:val="00CF7FE3"/>
    <w:rsid w:val="00D06C46"/>
    <w:rsid w:val="00D07821"/>
    <w:rsid w:val="00D15D88"/>
    <w:rsid w:val="00D2028D"/>
    <w:rsid w:val="00D23B33"/>
    <w:rsid w:val="00D24692"/>
    <w:rsid w:val="00D30F84"/>
    <w:rsid w:val="00D3104C"/>
    <w:rsid w:val="00D362D8"/>
    <w:rsid w:val="00D4252B"/>
    <w:rsid w:val="00D42624"/>
    <w:rsid w:val="00D42B7E"/>
    <w:rsid w:val="00D44132"/>
    <w:rsid w:val="00D518C4"/>
    <w:rsid w:val="00D56966"/>
    <w:rsid w:val="00D6271F"/>
    <w:rsid w:val="00D62D27"/>
    <w:rsid w:val="00D7361B"/>
    <w:rsid w:val="00D7579B"/>
    <w:rsid w:val="00D81A88"/>
    <w:rsid w:val="00D85DFE"/>
    <w:rsid w:val="00D86373"/>
    <w:rsid w:val="00D91AEF"/>
    <w:rsid w:val="00DC297C"/>
    <w:rsid w:val="00DD3F25"/>
    <w:rsid w:val="00DE3AB4"/>
    <w:rsid w:val="00DF16E3"/>
    <w:rsid w:val="00DF45B4"/>
    <w:rsid w:val="00E047DF"/>
    <w:rsid w:val="00E1515F"/>
    <w:rsid w:val="00E215FD"/>
    <w:rsid w:val="00E223C5"/>
    <w:rsid w:val="00E2296B"/>
    <w:rsid w:val="00E34237"/>
    <w:rsid w:val="00E403C1"/>
    <w:rsid w:val="00E40E46"/>
    <w:rsid w:val="00E42E9D"/>
    <w:rsid w:val="00E57D79"/>
    <w:rsid w:val="00E57D7B"/>
    <w:rsid w:val="00E6100A"/>
    <w:rsid w:val="00E629F0"/>
    <w:rsid w:val="00E7797C"/>
    <w:rsid w:val="00E8764C"/>
    <w:rsid w:val="00E91853"/>
    <w:rsid w:val="00E91B9B"/>
    <w:rsid w:val="00EA428C"/>
    <w:rsid w:val="00EB2049"/>
    <w:rsid w:val="00EB6442"/>
    <w:rsid w:val="00EB6E74"/>
    <w:rsid w:val="00EC72C8"/>
    <w:rsid w:val="00ED5114"/>
    <w:rsid w:val="00ED71FC"/>
    <w:rsid w:val="00EE2912"/>
    <w:rsid w:val="00EF1396"/>
    <w:rsid w:val="00EF27A9"/>
    <w:rsid w:val="00EF38AB"/>
    <w:rsid w:val="00EF7B8D"/>
    <w:rsid w:val="00F03202"/>
    <w:rsid w:val="00F078B6"/>
    <w:rsid w:val="00F11987"/>
    <w:rsid w:val="00F14AED"/>
    <w:rsid w:val="00F17FB1"/>
    <w:rsid w:val="00F2073E"/>
    <w:rsid w:val="00F26DEA"/>
    <w:rsid w:val="00F32FF5"/>
    <w:rsid w:val="00F34BD0"/>
    <w:rsid w:val="00F379C4"/>
    <w:rsid w:val="00F46C7E"/>
    <w:rsid w:val="00F55077"/>
    <w:rsid w:val="00F648D2"/>
    <w:rsid w:val="00F67808"/>
    <w:rsid w:val="00F70F76"/>
    <w:rsid w:val="00F715B6"/>
    <w:rsid w:val="00F742D3"/>
    <w:rsid w:val="00F84936"/>
    <w:rsid w:val="00F86838"/>
    <w:rsid w:val="00FA23DC"/>
    <w:rsid w:val="00FA346E"/>
    <w:rsid w:val="00FB1242"/>
    <w:rsid w:val="00FB2025"/>
    <w:rsid w:val="00FB7F23"/>
    <w:rsid w:val="00FC68E3"/>
    <w:rsid w:val="00FD1336"/>
    <w:rsid w:val="00FD1DF6"/>
    <w:rsid w:val="00FD528C"/>
    <w:rsid w:val="00FD7639"/>
    <w:rsid w:val="00FE122A"/>
    <w:rsid w:val="00FE3C00"/>
    <w:rsid w:val="00FE52F7"/>
    <w:rsid w:val="00FE5A02"/>
    <w:rsid w:val="00FF111A"/>
    <w:rsid w:val="00FF192F"/>
    <w:rsid w:val="00FF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DF93A"/>
  <w15:docId w15:val="{F2B506D4-BF73-0A43-A71C-BF75F19D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0643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4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4F4F"/>
  </w:style>
  <w:style w:type="paragraph" w:styleId="Piedepgina">
    <w:name w:val="footer"/>
    <w:basedOn w:val="Normal"/>
    <w:link w:val="PiedepginaCar"/>
    <w:uiPriority w:val="99"/>
    <w:unhideWhenUsed/>
    <w:rsid w:val="00A74F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4F4F"/>
  </w:style>
  <w:style w:type="paragraph" w:styleId="Textodeglobo">
    <w:name w:val="Balloon Text"/>
    <w:basedOn w:val="Normal"/>
    <w:link w:val="TextodegloboCar"/>
    <w:uiPriority w:val="99"/>
    <w:semiHidden/>
    <w:unhideWhenUsed/>
    <w:rsid w:val="00FD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5A0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0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2298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DD7DF2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5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54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346642"/>
  </w:style>
  <w:style w:type="table" w:customStyle="1" w:styleId="Tablaconcuadrcula2">
    <w:name w:val="Tabla con cuadrícula2"/>
    <w:basedOn w:val="Tablanormal"/>
    <w:next w:val="Tablaconcuadrcula"/>
    <w:uiPriority w:val="59"/>
    <w:rsid w:val="0034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346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31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Sinlista2">
    <w:name w:val="Sin lista2"/>
    <w:next w:val="Sinlista"/>
    <w:uiPriority w:val="99"/>
    <w:semiHidden/>
    <w:unhideWhenUsed/>
    <w:rsid w:val="006372C8"/>
  </w:style>
  <w:style w:type="table" w:customStyle="1" w:styleId="Tablaconcuadrcula3">
    <w:name w:val="Tabla con cuadrícula3"/>
    <w:basedOn w:val="Tablanormal"/>
    <w:next w:val="Tablaconcuadrcula"/>
    <w:uiPriority w:val="59"/>
    <w:rsid w:val="006372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6372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FE122A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D24692"/>
  </w:style>
  <w:style w:type="table" w:customStyle="1" w:styleId="Tablaconcuadrcula4">
    <w:name w:val="Tabla con cuadrícula4"/>
    <w:basedOn w:val="Tablanormal"/>
    <w:next w:val="Tablaconcuadrcula"/>
    <w:uiPriority w:val="59"/>
    <w:rsid w:val="00D2469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">
    <w:name w:val="Sin lista4"/>
    <w:next w:val="Sinlista"/>
    <w:uiPriority w:val="99"/>
    <w:semiHidden/>
    <w:unhideWhenUsed/>
    <w:rsid w:val="00630271"/>
  </w:style>
  <w:style w:type="table" w:customStyle="1" w:styleId="Tablaconcuadrcula5">
    <w:name w:val="Tabla con cuadrícula5"/>
    <w:basedOn w:val="Tablanormal"/>
    <w:next w:val="Tablaconcuadrcula"/>
    <w:uiPriority w:val="59"/>
    <w:rsid w:val="0063027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BC3D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18022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43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3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8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39074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97866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85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0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0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4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1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12010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752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84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00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0809-47FE-4499-9935-392D1DC2C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2144</Words>
  <Characters>11792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Helena Iglesias</cp:lastModifiedBy>
  <cp:revision>2</cp:revision>
  <cp:lastPrinted>2022-02-10T11:52:00Z</cp:lastPrinted>
  <dcterms:created xsi:type="dcterms:W3CDTF">2022-02-10T20:44:00Z</dcterms:created>
  <dcterms:modified xsi:type="dcterms:W3CDTF">2022-02-10T20:44:00Z</dcterms:modified>
</cp:coreProperties>
</file>