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EB" w:rsidRDefault="00827CE5">
      <w:pPr>
        <w:pStyle w:val="Standard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VICEPRESIDENCIA PRIMEIRA E CONSELLERÍA DE ECONOMÍA, EMPRESA E INNOVACIÓN</w:t>
      </w:r>
    </w:p>
    <w:p w:rsidR="008961EB" w:rsidRDefault="00827CE5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Xefatura Territorial de Pontevedra</w:t>
      </w:r>
    </w:p>
    <w:p w:rsidR="008961EB" w:rsidRDefault="00827CE5">
      <w:pPr>
        <w:pStyle w:val="Standard"/>
        <w:jc w:val="right"/>
        <w:rPr>
          <w:sz w:val="20"/>
          <w:szCs w:val="20"/>
        </w:rPr>
      </w:pPr>
      <w:bookmarkStart w:id="1" w:name="Bookmark"/>
      <w:bookmarkEnd w:id="1"/>
      <w:r>
        <w:rPr>
          <w:sz w:val="20"/>
          <w:szCs w:val="20"/>
        </w:rPr>
        <w:t>Calle Fernández Ladreda, 43</w:t>
      </w:r>
    </w:p>
    <w:p w:rsidR="008961EB" w:rsidRDefault="00827CE5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36003 Pontevedra</w:t>
      </w:r>
    </w:p>
    <w:p w:rsidR="008961EB" w:rsidRDefault="008961EB">
      <w:pPr>
        <w:pStyle w:val="Standard"/>
      </w:pPr>
    </w:p>
    <w:p w:rsidR="008961EB" w:rsidRDefault="00827CE5">
      <w:pPr>
        <w:pStyle w:val="Standard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ASUNTO: Alegacións o estudo de</w:t>
      </w:r>
      <w:r>
        <w:rPr>
          <w:b/>
          <w:bCs/>
          <w:sz w:val="23"/>
          <w:szCs w:val="23"/>
        </w:rPr>
        <w:t xml:space="preserve"> impacto ambiental e a solicitude de autorización administrativa previa e de construción, o proxecto de interese autonómico e a declaración de utilidade pública, en concreto, das instalacions da LAT 66 kV PE Dos Cotos-SE Pontesampaio, emprazada nos concell</w:t>
      </w:r>
      <w:r>
        <w:rPr>
          <w:b/>
          <w:bCs/>
          <w:sz w:val="23"/>
          <w:szCs w:val="23"/>
        </w:rPr>
        <w:t>os de Cerdedo-Cotobade, Pontecaldelas e Pontevedra da  provincia de Pontevedra (expediente IN408A 2020/122).</w:t>
      </w:r>
    </w:p>
    <w:p w:rsidR="008961EB" w:rsidRDefault="008961EB">
      <w:pPr>
        <w:pStyle w:val="Standard"/>
        <w:rPr>
          <w:b/>
          <w:bCs/>
          <w:sz w:val="23"/>
          <w:szCs w:val="23"/>
        </w:rPr>
      </w:pPr>
    </w:p>
    <w:p w:rsidR="008961EB" w:rsidRDefault="00827CE5">
      <w:pPr>
        <w:pStyle w:val="Standard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Don/Dona_______________________________________________________________________</w:t>
      </w:r>
    </w:p>
    <w:p w:rsidR="008961EB" w:rsidRDefault="00827CE5">
      <w:pPr>
        <w:pStyle w:val="Standard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con DNI. Número ________________________,con domicilio a efectos </w:t>
      </w:r>
      <w:r>
        <w:rPr>
          <w:sz w:val="23"/>
          <w:szCs w:val="23"/>
        </w:rPr>
        <w:t xml:space="preserve">de notificacións en ______________________________________________________, municipio de _____________, provincia de __________________.  </w:t>
      </w:r>
    </w:p>
    <w:p w:rsidR="008961EB" w:rsidRDefault="008961EB">
      <w:pPr>
        <w:pStyle w:val="Standard"/>
        <w:rPr>
          <w:sz w:val="23"/>
          <w:szCs w:val="23"/>
        </w:rPr>
      </w:pPr>
    </w:p>
    <w:p w:rsidR="008961EB" w:rsidRDefault="00827CE5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EXPÓN: Á vista da resolución do 26 de xullo de 2023  da xefatura provincial de Pontevedra pola que se somete a infor</w:t>
      </w:r>
      <w:r>
        <w:rPr>
          <w:sz w:val="23"/>
          <w:szCs w:val="23"/>
        </w:rPr>
        <w:t>mación pública o estudo de impacto ambiental e a solicitude de autorización administrativa previa e de construción, o proxecto de interese autonómico e a declaración de utilidade pública, en concreto, das instalacions da LAT 66 kV PE Dos Cotos-SE Pontesamp</w:t>
      </w:r>
      <w:r>
        <w:rPr>
          <w:sz w:val="23"/>
          <w:szCs w:val="23"/>
        </w:rPr>
        <w:t xml:space="preserve">aio (expediente IN408A 2020/122) </w:t>
      </w:r>
      <w:r>
        <w:rPr>
          <w:b/>
          <w:bCs/>
          <w:sz w:val="23"/>
          <w:szCs w:val="23"/>
        </w:rPr>
        <w:t>DOGA Num. 161 do venres 25 de agosto de 2023</w:t>
      </w:r>
      <w:r>
        <w:rPr>
          <w:sz w:val="23"/>
          <w:szCs w:val="23"/>
        </w:rPr>
        <w:t>, por medio do presente escrito realízanse as seguintes ALEGACIÓNS:</w:t>
      </w:r>
    </w:p>
    <w:p w:rsidR="008961EB" w:rsidRDefault="008961EB">
      <w:pPr>
        <w:pStyle w:val="Standard"/>
        <w:rPr>
          <w:sz w:val="23"/>
          <w:szCs w:val="23"/>
        </w:rPr>
      </w:pPr>
    </w:p>
    <w:p w:rsidR="008961EB" w:rsidRDefault="00827CE5">
      <w:pPr>
        <w:pStyle w:val="Standard"/>
        <w:rPr>
          <w:sz w:val="23"/>
          <w:szCs w:val="23"/>
        </w:rPr>
      </w:pPr>
      <w:r>
        <w:rPr>
          <w:b/>
          <w:bCs/>
          <w:sz w:val="23"/>
          <w:szCs w:val="23"/>
        </w:rPr>
        <w:t>PRIMEIRA: División artificiosa de proxectos aos efectos da avaliación ambiental: proxecto do parque eólico dos</w:t>
      </w:r>
      <w:r>
        <w:rPr>
          <w:b/>
          <w:bCs/>
          <w:sz w:val="23"/>
          <w:szCs w:val="23"/>
        </w:rPr>
        <w:t xml:space="preserve"> Cotos e proxecto da liña de evacuación. </w:t>
      </w:r>
      <w:r>
        <w:rPr>
          <w:sz w:val="23"/>
          <w:szCs w:val="23"/>
        </w:rPr>
        <w:t>Na área afectada polo proxecto existen outros parques eólicos, PE Monte do Pe, PE Coto Aguado, PE A Fracha, PE Monte Peón, ... e outras liñas de alta tensión de evacuación.  Ausencia de avaliación ambiental acumulad</w:t>
      </w:r>
      <w:r>
        <w:rPr>
          <w:sz w:val="23"/>
          <w:szCs w:val="23"/>
        </w:rPr>
        <w:t>a e sinérxica da totalidade do conxunto das infraestruturas. A LAT 66 kV PE Dos Cotos-SE Pontesampaio agrava a excesiva concentración de instalacións eólicas e liñas de evacuación na contorna, que non son tidas en conta no presente EIA. Hai polo tanto unha</w:t>
      </w:r>
      <w:r>
        <w:rPr>
          <w:sz w:val="23"/>
          <w:szCs w:val="23"/>
        </w:rPr>
        <w:t xml:space="preserve"> falla de avaliación dos efectos sinérxicos e acumulativos (aditivos, sumativos e globais) segundo obriga o art. 35 da Lei 21/2013 de avaliación ambiental. Téñase en conta a xurisprudencia: Sentenza do TSJ Castela e León de Burgos, Sala do Contencioso-Admi</w:t>
      </w:r>
      <w:r>
        <w:rPr>
          <w:sz w:val="23"/>
          <w:szCs w:val="23"/>
        </w:rPr>
        <w:t>nistrativo, Sección 1ª do 13 de xullo do 2012 e a Sentenza do TS 345/2018, do 5 de marzo.</w:t>
      </w:r>
    </w:p>
    <w:p w:rsidR="008961EB" w:rsidRDefault="008961EB">
      <w:pPr>
        <w:pStyle w:val="Standard"/>
        <w:rPr>
          <w:sz w:val="23"/>
          <w:szCs w:val="23"/>
        </w:rPr>
      </w:pPr>
    </w:p>
    <w:p w:rsidR="008961EB" w:rsidRDefault="00827CE5">
      <w:pPr>
        <w:pStyle w:val="Standard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SEGUNDA.- Ausencia de planificación eólica actualizada e coherente co escenario actual de tramitación masiva de instalacións eólicas.</w:t>
      </w:r>
    </w:p>
    <w:p w:rsidR="008961EB" w:rsidRDefault="00827CE5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Nestes momentos tanto a Adminis</w:t>
      </w:r>
      <w:r>
        <w:rPr>
          <w:sz w:val="23"/>
          <w:szCs w:val="23"/>
        </w:rPr>
        <w:t>tración Xeral do Estado como a Xunta de Galicia están a tramitar no ámbito deste Comunidade Autónoma un volume de proxectos de implantación de novos parques que representan no seu conxunto unha capacidade eólica á marxe das previsións e do “carácter regula</w:t>
      </w:r>
      <w:r>
        <w:rPr>
          <w:sz w:val="23"/>
          <w:szCs w:val="23"/>
        </w:rPr>
        <w:t>do” da Planificación Eólica de Galiza, recollida na Lei 8/2009, de 22 de decembro, pola que se regula o aproveitamento eólico en Galicia e se crean o canon eólico e o Fondo de Compensación Ambiental.</w:t>
      </w:r>
    </w:p>
    <w:p w:rsidR="008961EB" w:rsidRDefault="00827CE5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Semellante volume de proxectos en trámite implica un uso</w:t>
      </w:r>
      <w:r>
        <w:rPr>
          <w:sz w:val="23"/>
          <w:szCs w:val="23"/>
        </w:rPr>
        <w:t xml:space="preserve"> abusivo e irresponsable das competencias de ambalas dúas Administracións, toda vez que tal expansión eólica modifica susbtancialmente a planificación eólica vixente na Galiza, e no seu conxunto pouco ten que ver cunha planificación eólica ordenada e que s</w:t>
      </w:r>
      <w:r>
        <w:rPr>
          <w:sz w:val="23"/>
          <w:szCs w:val="23"/>
        </w:rPr>
        <w:t>exa coherente co deseño eólico considerado na Lei galega 8/2009.</w:t>
      </w:r>
    </w:p>
    <w:p w:rsidR="008961EB" w:rsidRDefault="008961EB">
      <w:pPr>
        <w:pStyle w:val="Standard"/>
        <w:rPr>
          <w:sz w:val="23"/>
          <w:szCs w:val="23"/>
        </w:rPr>
      </w:pPr>
    </w:p>
    <w:p w:rsidR="008961EB" w:rsidRDefault="00827CE5">
      <w:pPr>
        <w:pStyle w:val="Standard"/>
        <w:rPr>
          <w:sz w:val="23"/>
          <w:szCs w:val="23"/>
        </w:rPr>
      </w:pPr>
      <w:r>
        <w:rPr>
          <w:b/>
          <w:bCs/>
          <w:sz w:val="23"/>
          <w:szCs w:val="23"/>
        </w:rPr>
        <w:t>TERCEIRA.- Ausencia do Informe de repercusións sobre a Rede Natura 2000. Afección moi severa e prexuizos irreparables para a Rede Natura 2000 e a súa coherencia.</w:t>
      </w:r>
      <w:r>
        <w:rPr>
          <w:sz w:val="23"/>
          <w:szCs w:val="23"/>
        </w:rPr>
        <w:t xml:space="preserve"> Falla de conectividade ecoló</w:t>
      </w:r>
      <w:r>
        <w:rPr>
          <w:sz w:val="23"/>
          <w:szCs w:val="23"/>
        </w:rPr>
        <w:t>xica entre os ecosistemas. Cómpre ter en conta que as especies non entenden de límites xeográficos e que o mantemento da conectividade ecolóxica é fundamental para o mantemento dos ecosistemas e da coherencia da propia Rede.</w:t>
      </w:r>
    </w:p>
    <w:p w:rsidR="008961EB" w:rsidRDefault="00827CE5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A LAT PE Dos Cotos-SE Pontesamp</w:t>
      </w:r>
      <w:r>
        <w:rPr>
          <w:sz w:val="23"/>
          <w:szCs w:val="23"/>
        </w:rPr>
        <w:t>aio afecta á Rede Natura 2000 e a necesaria coherencia da mesma:</w:t>
      </w:r>
    </w:p>
    <w:p w:rsidR="008961EB" w:rsidRDefault="00827CE5">
      <w:pPr>
        <w:pStyle w:val="Standard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Serra do Cando. ZEPVN.</w:t>
      </w:r>
    </w:p>
    <w:p w:rsidR="008961EB" w:rsidRDefault="00827CE5">
      <w:pPr>
        <w:pStyle w:val="Standard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Enseada de San Simón ZEC/ZEPVN.</w:t>
      </w:r>
    </w:p>
    <w:p w:rsidR="008961EB" w:rsidRDefault="008961EB">
      <w:pPr>
        <w:pStyle w:val="Standard"/>
        <w:rPr>
          <w:sz w:val="23"/>
          <w:szCs w:val="23"/>
        </w:rPr>
      </w:pPr>
    </w:p>
    <w:p w:rsidR="008961EB" w:rsidRDefault="00827CE5">
      <w:pPr>
        <w:pStyle w:val="Standard"/>
        <w:rPr>
          <w:sz w:val="23"/>
          <w:szCs w:val="23"/>
        </w:rPr>
      </w:pPr>
      <w:r>
        <w:rPr>
          <w:b/>
          <w:bCs/>
          <w:sz w:val="23"/>
          <w:szCs w:val="23"/>
        </w:rPr>
        <w:t>CUARTA.-  Afección severa e prexuizos irreversibles para as familias que viven, residen e/ou traballan nos núcleos rurais afectados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>Non se teñen en conta nin se avalían os graves prexuízos que pode supoñer a LAT 66 kV PE Dos Cotos-SE Pontesampaio  para o benestar, a saúde e a calidade de vida da veciñanza que vive e traballa nas aldeas da contorna, xa que o trazado que se presenta no E</w:t>
      </w:r>
      <w:r>
        <w:rPr>
          <w:sz w:val="23"/>
          <w:szCs w:val="23"/>
        </w:rPr>
        <w:t>IA discorre a unha distancia excesivamente próxima a núcleos habitados como: Famelga, A Graña, A Senra, Mirón, Contixe, Tourón, Buchabade, A Aluncia, Xuntans, Baltar, Pontesampaio. A comunidade científica recoñece que existen riscos sobre a saúde asociados</w:t>
      </w:r>
      <w:r>
        <w:rPr>
          <w:sz w:val="23"/>
          <w:szCs w:val="23"/>
        </w:rPr>
        <w:t xml:space="preserve"> a radiacións e á contaminación electromagnética das liñas eléctricas, os cales non aparecen avaliados no EIA, resultando a información que se proporciona insuficiente para determinar os posibles efectos adversos sobre a saúde das persoas.</w:t>
      </w:r>
    </w:p>
    <w:p w:rsidR="008961EB" w:rsidRDefault="008961EB">
      <w:pPr>
        <w:pStyle w:val="Standard"/>
        <w:rPr>
          <w:sz w:val="23"/>
          <w:szCs w:val="23"/>
        </w:rPr>
      </w:pPr>
    </w:p>
    <w:p w:rsidR="008961EB" w:rsidRDefault="00827CE5">
      <w:pPr>
        <w:pStyle w:val="Standard"/>
        <w:rPr>
          <w:sz w:val="23"/>
          <w:szCs w:val="23"/>
        </w:rPr>
      </w:pPr>
      <w:r>
        <w:rPr>
          <w:b/>
          <w:bCs/>
          <w:sz w:val="23"/>
          <w:szCs w:val="23"/>
        </w:rPr>
        <w:t>QUINTA: O proxe</w:t>
      </w:r>
      <w:r>
        <w:rPr>
          <w:b/>
          <w:bCs/>
          <w:sz w:val="23"/>
          <w:szCs w:val="23"/>
        </w:rPr>
        <w:t>cto carece de xustificación ou interese social e utilidade pública algunha, pois só responde a un interese estritamente mercantil con nula incidencia positiva na loita contra o cambio climático e que vai en contra dos obxectivos da Estratexia da UE sobre a</w:t>
      </w:r>
      <w:r>
        <w:rPr>
          <w:b/>
          <w:bCs/>
          <w:sz w:val="23"/>
          <w:szCs w:val="23"/>
        </w:rPr>
        <w:t xml:space="preserve"> biodiversidade</w:t>
      </w:r>
      <w:r>
        <w:rPr>
          <w:sz w:val="23"/>
          <w:szCs w:val="23"/>
        </w:rPr>
        <w:t xml:space="preserve"> (Comunicación da Comisión Europea ao Parlamento Europeo, ao Consello, ao Comité Económico e Social Europeo e ao Comité das Rexións, Bruxelas 20.05.2021). Preténdese construír unha liña de alta tensión de 16 km co obxectivo de evacuar un par</w:t>
      </w:r>
      <w:r>
        <w:rPr>
          <w:sz w:val="23"/>
          <w:szCs w:val="23"/>
        </w:rPr>
        <w:t>ques eólico supoñendo a deforestación de grandes extensións de carballeiras e bosques de ribeira, así como un  impacto crítico en aves e quirópteros dos espazos protexidos da Rede Natura 2000 e ZEPVN. lindeiros. A posible contribución positiva contra o cam</w:t>
      </w:r>
      <w:r>
        <w:rPr>
          <w:sz w:val="23"/>
          <w:szCs w:val="23"/>
        </w:rPr>
        <w:t>bio climático queda invalidada ante os prexuízos medioambientais que a súa evacuación supoñerá, especialmente a corta de masas forestais que están contribuíndo á captación de CO2. Ao respecto, considérese a Sentenza: 00311/2020, do 11 de decembro do 2020 d</w:t>
      </w:r>
      <w:r>
        <w:rPr>
          <w:sz w:val="23"/>
          <w:szCs w:val="23"/>
        </w:rPr>
        <w:t>o TSXG.</w:t>
      </w:r>
    </w:p>
    <w:p w:rsidR="008961EB" w:rsidRDefault="00827CE5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O proxecto é incoherente cos criterios establecidos na Lei 1/2021, de ordenación do territorio de Galicia ó non estar debidamente xustificados, alén do seu carácter supramunicipal, os requisitos previstos no art. 41.2 para ser declarado como “Proxe</w:t>
      </w:r>
      <w:r>
        <w:rPr>
          <w:sz w:val="23"/>
          <w:szCs w:val="23"/>
        </w:rPr>
        <w:t>cto de Interese Autonómico”. Non se presenta unha avaliación da aceptación social, sendo un requisito derivado do art. 1 do Convenio de Aarhus</w:t>
      </w:r>
    </w:p>
    <w:p w:rsidR="008961EB" w:rsidRDefault="008961EB">
      <w:pPr>
        <w:pStyle w:val="Standard"/>
        <w:rPr>
          <w:sz w:val="23"/>
          <w:szCs w:val="23"/>
        </w:rPr>
      </w:pPr>
    </w:p>
    <w:p w:rsidR="008961EB" w:rsidRDefault="00827CE5">
      <w:pPr>
        <w:pStyle w:val="Standard"/>
        <w:rPr>
          <w:sz w:val="23"/>
          <w:szCs w:val="23"/>
        </w:rPr>
      </w:pPr>
      <w:r>
        <w:rPr>
          <w:b/>
          <w:bCs/>
          <w:sz w:val="23"/>
          <w:szCs w:val="23"/>
        </w:rPr>
        <w:t>SEXTA: Non se garante a non afección ós acuíferos e á calidade das masas de auga tanto superficiais como soterra</w:t>
      </w:r>
      <w:r>
        <w:rPr>
          <w:b/>
          <w:bCs/>
          <w:sz w:val="23"/>
          <w:szCs w:val="23"/>
        </w:rPr>
        <w:t>das</w:t>
      </w:r>
      <w:r>
        <w:rPr>
          <w:sz w:val="23"/>
          <w:szCs w:val="23"/>
        </w:rPr>
        <w:t>. Os movementos de terras, perforacións e outras obras necesarias para a instalación da LAT poden afectar gravemente ós acuíferos, mananciais e á rede hidrográfica dándose unha afección ós recursos hídricos. Téñase en conta a Directiva Marco dá Auga (DM</w:t>
      </w:r>
      <w:r>
        <w:rPr>
          <w:sz w:val="23"/>
          <w:szCs w:val="23"/>
        </w:rPr>
        <w:t>A).</w:t>
      </w:r>
    </w:p>
    <w:p w:rsidR="008961EB" w:rsidRDefault="008961EB">
      <w:pPr>
        <w:pStyle w:val="Standard"/>
        <w:rPr>
          <w:sz w:val="23"/>
          <w:szCs w:val="23"/>
        </w:rPr>
      </w:pPr>
    </w:p>
    <w:p w:rsidR="008961EB" w:rsidRDefault="00827CE5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Por todo o anteriormente exposto SOLICITO que teña por presentado este escrito e por formuladas as alegacións en tempo e forma, que sexan estimadas as mesmas e que, en consecuencia, se declare inviable ambientalmente esta instalación eléctrica e se de</w:t>
      </w:r>
      <w:r>
        <w:rPr>
          <w:sz w:val="23"/>
          <w:szCs w:val="23"/>
        </w:rPr>
        <w:t xml:space="preserve">sestimen o </w:t>
      </w:r>
      <w:r>
        <w:rPr>
          <w:b/>
          <w:bCs/>
          <w:sz w:val="23"/>
          <w:szCs w:val="23"/>
        </w:rPr>
        <w:t xml:space="preserve"> estudo de impacto ambiental e a solicitude de autorización administrativa previa e de construcción, o proxecto de interese autonómico e a declaración de utilidade pública, en concreto, das instalacions da LAT 66 kV PE Dos Cotos-SE Pontesampaio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concello de Pontevedra da provincia de Pontevedra (E</w:t>
      </w:r>
      <w:r>
        <w:rPr>
          <w:b/>
          <w:bCs/>
          <w:sz w:val="23"/>
          <w:szCs w:val="23"/>
        </w:rPr>
        <w:t xml:space="preserve">xpediente IN408A 2020/122) publicado no DOGA do </w:t>
      </w:r>
      <w:bookmarkStart w:id="2" w:name="DOGData"/>
      <w:bookmarkEnd w:id="2"/>
      <w:r>
        <w:rPr>
          <w:b/>
          <w:bCs/>
          <w:sz w:val="23"/>
          <w:szCs w:val="23"/>
        </w:rPr>
        <w:t xml:space="preserve">Venres, 25 de agosto de 2023 </w:t>
      </w:r>
      <w:r>
        <w:rPr>
          <w:sz w:val="23"/>
          <w:szCs w:val="23"/>
        </w:rPr>
        <w:t>, téndome por parte interesada, déseme traslado da resolución que recaia no presente procedemento administrativo.</w:t>
      </w:r>
    </w:p>
    <w:p w:rsidR="008961EB" w:rsidRDefault="008961EB">
      <w:pPr>
        <w:pStyle w:val="Standard"/>
        <w:rPr>
          <w:sz w:val="23"/>
          <w:szCs w:val="23"/>
        </w:rPr>
      </w:pPr>
    </w:p>
    <w:p w:rsidR="008961EB" w:rsidRDefault="00827CE5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OUTROSÍ DÍ:</w:t>
      </w:r>
      <w:r>
        <w:rPr>
          <w:sz w:val="23"/>
          <w:szCs w:val="23"/>
        </w:rPr>
        <w:t xml:space="preserve"> Que é preciso unha resposta razoada a estas alegacións de acordo a la Lei 39/2015, de 1 de outubro, do procedemento administrativo común das administracións públicas. A falta de resposta é motivo de nulidade da tramitación.</w:t>
      </w:r>
    </w:p>
    <w:p w:rsidR="008961EB" w:rsidRDefault="008961EB">
      <w:pPr>
        <w:pStyle w:val="Standard"/>
        <w:rPr>
          <w:sz w:val="23"/>
          <w:szCs w:val="23"/>
        </w:rPr>
      </w:pPr>
    </w:p>
    <w:p w:rsidR="008961EB" w:rsidRDefault="00827CE5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En ___________________________</w:t>
      </w:r>
      <w:r>
        <w:rPr>
          <w:sz w:val="23"/>
          <w:szCs w:val="23"/>
        </w:rPr>
        <w:t>____a ________de __________________________do 2023</w:t>
      </w:r>
    </w:p>
    <w:p w:rsidR="008961EB" w:rsidRDefault="00827CE5">
      <w:pPr>
        <w:pStyle w:val="Standard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</w:t>
      </w:r>
    </w:p>
    <w:p w:rsidR="008961EB" w:rsidRDefault="008961EB">
      <w:pPr>
        <w:pStyle w:val="Standard"/>
        <w:rPr>
          <w:sz w:val="23"/>
          <w:szCs w:val="23"/>
        </w:rPr>
      </w:pPr>
    </w:p>
    <w:p w:rsidR="008961EB" w:rsidRDefault="00827CE5">
      <w:pPr>
        <w:pStyle w:val="Standard"/>
        <w:rPr>
          <w:sz w:val="23"/>
          <w:szCs w:val="23"/>
        </w:rPr>
      </w:pPr>
      <w:r>
        <w:rPr>
          <w:sz w:val="23"/>
          <w:szCs w:val="23"/>
        </w:rPr>
        <w:t xml:space="preserve"> Asinado:</w:t>
      </w:r>
    </w:p>
    <w:sectPr w:rsidR="008961E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E5" w:rsidRDefault="00827CE5">
      <w:r>
        <w:separator/>
      </w:r>
    </w:p>
  </w:endnote>
  <w:endnote w:type="continuationSeparator" w:id="0">
    <w:p w:rsidR="00827CE5" w:rsidRDefault="0082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unta Sans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E5" w:rsidRDefault="00827CE5">
      <w:r>
        <w:rPr>
          <w:color w:val="000000"/>
        </w:rPr>
        <w:separator/>
      </w:r>
    </w:p>
  </w:footnote>
  <w:footnote w:type="continuationSeparator" w:id="0">
    <w:p w:rsidR="00827CE5" w:rsidRDefault="0082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6D39"/>
    <w:multiLevelType w:val="multilevel"/>
    <w:tmpl w:val="EE20C57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7C07CAB"/>
    <w:multiLevelType w:val="multilevel"/>
    <w:tmpl w:val="1FFA416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2DE79A2"/>
    <w:multiLevelType w:val="multilevel"/>
    <w:tmpl w:val="30405D50"/>
    <w:styleLink w:val="WWNum3"/>
    <w:lvl w:ilvl="0">
      <w:numFmt w:val="bullet"/>
      <w:lvlText w:val="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7DE0941"/>
    <w:multiLevelType w:val="multilevel"/>
    <w:tmpl w:val="6CE05C6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61EB"/>
    <w:rsid w:val="00592D3F"/>
    <w:rsid w:val="00827CE5"/>
    <w:rsid w:val="0089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</w:pPr>
    <w:rPr>
      <w:rFonts w:ascii="Xunta Sans" w:hAnsi="Xunta Sans" w:cs="Xunta Sans"/>
      <w:color w:val="000000"/>
    </w:rPr>
  </w:style>
  <w:style w:type="paragraph" w:styleId="Prrafodelista">
    <w:name w:val="List Paragraph"/>
    <w:basedOn w:val="Standard"/>
    <w:pPr>
      <w:ind w:left="720"/>
    </w:pPr>
    <w:rPr>
      <w:rFonts w:ascii="Calibri" w:eastAsia="Calibri" w:hAnsi="Calibri" w:cs="Calibri"/>
      <w:lang w:eastAsia="es-ES"/>
    </w:rPr>
  </w:style>
  <w:style w:type="character" w:customStyle="1" w:styleId="ListLabel1">
    <w:name w:val="ListLabel 1"/>
    <w:rPr>
      <w:rFonts w:cs="Courier New"/>
    </w:rPr>
  </w:style>
  <w:style w:type="numbering" w:customStyle="1" w:styleId="WWNum7">
    <w:name w:val="WWNum7"/>
    <w:basedOn w:val="Sinlista"/>
    <w:pPr>
      <w:numPr>
        <w:numId w:val="1"/>
      </w:numPr>
    </w:pPr>
  </w:style>
  <w:style w:type="numbering" w:customStyle="1" w:styleId="WWNum11">
    <w:name w:val="WWNum11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9">
    <w:name w:val="WWNum9"/>
    <w:basedOn w:val="Sinlist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</w:pPr>
    <w:rPr>
      <w:rFonts w:ascii="Xunta Sans" w:hAnsi="Xunta Sans" w:cs="Xunta Sans"/>
      <w:color w:val="000000"/>
    </w:rPr>
  </w:style>
  <w:style w:type="paragraph" w:styleId="Prrafodelista">
    <w:name w:val="List Paragraph"/>
    <w:basedOn w:val="Standard"/>
    <w:pPr>
      <w:ind w:left="720"/>
    </w:pPr>
    <w:rPr>
      <w:rFonts w:ascii="Calibri" w:eastAsia="Calibri" w:hAnsi="Calibri" w:cs="Calibri"/>
      <w:lang w:eastAsia="es-ES"/>
    </w:rPr>
  </w:style>
  <w:style w:type="character" w:customStyle="1" w:styleId="ListLabel1">
    <w:name w:val="ListLabel 1"/>
    <w:rPr>
      <w:rFonts w:cs="Courier New"/>
    </w:rPr>
  </w:style>
  <w:style w:type="numbering" w:customStyle="1" w:styleId="WWNum7">
    <w:name w:val="WWNum7"/>
    <w:basedOn w:val="Sinlista"/>
    <w:pPr>
      <w:numPr>
        <w:numId w:val="1"/>
      </w:numPr>
    </w:pPr>
  </w:style>
  <w:style w:type="numbering" w:customStyle="1" w:styleId="WWNum11">
    <w:name w:val="WWNum11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9">
    <w:name w:val="WWNum9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2</Pages>
  <Words>1185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2009-04-16T11:32:00Z</dcterms:created>
  <dcterms:modified xsi:type="dcterms:W3CDTF">2023-09-03T14:10:00Z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